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8E8D6B" w14:textId="77777777" w:rsidR="00001341" w:rsidRPr="00ED2FCF" w:rsidRDefault="004F6563" w:rsidP="00001341">
      <w:pPr>
        <w:spacing w:after="100" w:afterAutospacing="1"/>
        <w:jc w:val="center"/>
        <w:outlineLvl w:val="2"/>
        <w:rPr>
          <w:rFonts w:ascii="Times New Roman" w:hAnsi="Times New Roman" w:cs="Times New Roman"/>
          <w:b/>
          <w:bCs/>
          <w:sz w:val="22"/>
          <w:szCs w:val="22"/>
        </w:rPr>
      </w:pPr>
      <w:r w:rsidRPr="00ED2FCF">
        <w:rPr>
          <w:rFonts w:ascii="Times New Roman" w:hAnsi="Times New Roman" w:cs="Times New Roman"/>
          <w:b/>
          <w:bCs/>
          <w:sz w:val="22"/>
          <w:szCs w:val="22"/>
        </w:rPr>
        <w:t xml:space="preserve">Linear vs. Non-Linear Alpha: </w:t>
      </w:r>
    </w:p>
    <w:p w14:paraId="3577E280" w14:textId="5F6AC182" w:rsidR="004F6563" w:rsidRPr="00ED2FCF" w:rsidRDefault="004F6563" w:rsidP="00001341">
      <w:pPr>
        <w:spacing w:after="100" w:afterAutospacing="1"/>
        <w:jc w:val="center"/>
        <w:outlineLvl w:val="2"/>
        <w:rPr>
          <w:rFonts w:ascii="Times New Roman" w:hAnsi="Times New Roman" w:cs="Times New Roman"/>
          <w:b/>
          <w:bCs/>
          <w:sz w:val="22"/>
          <w:szCs w:val="22"/>
        </w:rPr>
      </w:pPr>
      <w:r w:rsidRPr="00ED2FCF">
        <w:rPr>
          <w:rFonts w:ascii="Times New Roman" w:hAnsi="Times New Roman" w:cs="Times New Roman"/>
          <w:b/>
          <w:bCs/>
          <w:sz w:val="22"/>
          <w:szCs w:val="22"/>
        </w:rPr>
        <w:t>A Liquidity-Aware Comparison of LSTM and Ridge Signals Across Equal-Weight</w:t>
      </w:r>
      <w:r w:rsidRPr="00ED2FCF">
        <w:rPr>
          <w:rFonts w:ascii="Times New Roman" w:hAnsi="Times New Roman" w:cs="Times New Roman" w:hint="eastAsia"/>
          <w:b/>
          <w:bCs/>
          <w:sz w:val="22"/>
          <w:szCs w:val="22"/>
        </w:rPr>
        <w:t>ed</w:t>
      </w:r>
      <w:r w:rsidRPr="00ED2FCF">
        <w:rPr>
          <w:rFonts w:ascii="Times New Roman" w:hAnsi="Times New Roman" w:cs="Times New Roman"/>
          <w:b/>
          <w:bCs/>
          <w:sz w:val="22"/>
          <w:szCs w:val="22"/>
        </w:rPr>
        <w:t xml:space="preserve"> and Market-Cap</w:t>
      </w:r>
      <w:r w:rsidRPr="00ED2FCF">
        <w:rPr>
          <w:rFonts w:ascii="Times New Roman" w:hAnsi="Times New Roman" w:cs="Times New Roman" w:hint="eastAsia"/>
          <w:b/>
          <w:bCs/>
          <w:sz w:val="22"/>
          <w:szCs w:val="22"/>
        </w:rPr>
        <w:t>-</w:t>
      </w:r>
      <w:r w:rsidRPr="00ED2FCF">
        <w:rPr>
          <w:rFonts w:ascii="Times New Roman" w:hAnsi="Times New Roman" w:cs="Times New Roman"/>
          <w:b/>
          <w:bCs/>
          <w:sz w:val="22"/>
          <w:szCs w:val="22"/>
        </w:rPr>
        <w:t>Weighted Portfolios</w:t>
      </w:r>
    </w:p>
    <w:p w14:paraId="41D738D2" w14:textId="59F8B656" w:rsidR="00E60A80" w:rsidRPr="00ED2FCF" w:rsidRDefault="00E60A80" w:rsidP="00B13D85">
      <w:p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Abstract</w:t>
      </w:r>
    </w:p>
    <w:p w14:paraId="363F4F9B" w14:textId="363CA495" w:rsidR="00F50B27" w:rsidRPr="00ED2FCF" w:rsidRDefault="00441D0E" w:rsidP="00B13D85">
      <w:pPr>
        <w:spacing w:after="100" w:afterAutospacing="1"/>
        <w:jc w:val="both"/>
        <w:rPr>
          <w:rFonts w:ascii="Times New Roman" w:hAnsi="Times New Roman" w:cs="Times New Roman"/>
          <w:sz w:val="22"/>
          <w:szCs w:val="22"/>
        </w:rPr>
      </w:pPr>
      <w:r w:rsidRPr="00441D0E">
        <w:rPr>
          <w:rFonts w:ascii="Times New Roman" w:hAnsi="Times New Roman" w:cs="Times New Roman"/>
          <w:sz w:val="22"/>
          <w:szCs w:val="22"/>
        </w:rPr>
        <w:t xml:space="preserve">This study evaluates whether non-linear deep learning models can generate economically meaningful alpha in monthly cross-sectional U.S. equity selection. Specifically, we compare Long Short-Term Memory (LSTM) networks—capable of modeling temporal dependencies and nonlinear feature interactions—with a traditional Ridge Regression baseline for predicting next-month excess returns. Using CRSP monthly data, we construct a comprehensive feature set including momentum, volatility, volume dynamics, and key macroeconomic indicators. Models are trained with three historical lookback windows (6, 12, and 24 months) and evaluated within a strictly aligned Out-of-Sample framework beginning in January 2022. Portfolios are formed monthly using a </w:t>
      </w:r>
      <w:proofErr w:type="gramStart"/>
      <w:r w:rsidRPr="00441D0E">
        <w:rPr>
          <w:rFonts w:ascii="Times New Roman" w:hAnsi="Times New Roman" w:cs="Times New Roman"/>
          <w:sz w:val="22"/>
          <w:szCs w:val="22"/>
        </w:rPr>
        <w:t>Top-100</w:t>
      </w:r>
      <w:proofErr w:type="gramEnd"/>
      <w:r w:rsidRPr="00441D0E">
        <w:rPr>
          <w:rFonts w:ascii="Times New Roman" w:hAnsi="Times New Roman" w:cs="Times New Roman"/>
          <w:sz w:val="22"/>
          <w:szCs w:val="22"/>
        </w:rPr>
        <w:t xml:space="preserve"> market-cap-weighted universe, and performance is assessed on both Gross and Net NAV using Corwin–Schultz spreads to approximate realistic transaction costs.</w:t>
      </w:r>
      <w:r>
        <w:rPr>
          <w:rFonts w:ascii="Times New Roman" w:hAnsi="Times New Roman" w:cs="Times New Roman" w:hint="eastAsia"/>
          <w:sz w:val="22"/>
          <w:szCs w:val="22"/>
        </w:rPr>
        <w:t xml:space="preserve"> </w:t>
      </w:r>
      <w:r w:rsidRPr="00441D0E">
        <w:rPr>
          <w:rFonts w:ascii="Times New Roman" w:hAnsi="Times New Roman" w:cs="Times New Roman"/>
          <w:sz w:val="22"/>
          <w:szCs w:val="22"/>
        </w:rPr>
        <w:t>Empirical results show that LSTM models generate lower predictive error and more coherent signal structures than the linear benchmark across all lookback horizons. However, both models exhibit directional accuracy close to the 50% “coin-flip” threshold, indicating that sign prediction alone is not the primary source of performance differentiation. Diagnostic analysis further reveals that LSTM signals interact more actively with smaller and less liquid names, whereas Ridge Regression naturally concentrates in larger, more stable stocks. As a result, Gross alpha generated by LSTM models is often dampened by transaction costs—particularly under Equal-Weight portfolios, where small-cap exposure and turnover amplify slippage.</w:t>
      </w:r>
      <w:r>
        <w:rPr>
          <w:rFonts w:ascii="Times New Roman" w:hAnsi="Times New Roman" w:cs="Times New Roman" w:hint="eastAsia"/>
          <w:sz w:val="22"/>
          <w:szCs w:val="22"/>
        </w:rPr>
        <w:t xml:space="preserve"> </w:t>
      </w:r>
      <w:r w:rsidRPr="00441D0E">
        <w:rPr>
          <w:rFonts w:ascii="Times New Roman" w:hAnsi="Times New Roman" w:cs="Times New Roman"/>
          <w:sz w:val="22"/>
          <w:szCs w:val="22"/>
        </w:rPr>
        <w:t>Overall, the findings indicate that LSTMs provide meaningfully stronger predictive structure than linear models, but their economic value critically depends on liquidity-aware implementation. When paired with market-cap weighting, LSTM signals translate into robust Net performance; without such controls, the nonlinear advantage is largely offset by trading frictions.</w:t>
      </w:r>
    </w:p>
    <w:p w14:paraId="3692F8DB" w14:textId="19B116A3" w:rsidR="00F50B27" w:rsidRPr="00ED2FCF" w:rsidRDefault="00C17F96" w:rsidP="00B13D85">
      <w:pPr>
        <w:pStyle w:val="a9"/>
        <w:numPr>
          <w:ilvl w:val="0"/>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Introduction</w:t>
      </w:r>
    </w:p>
    <w:p w14:paraId="31F2FA65" w14:textId="1AF14FE6" w:rsidR="00C17F96" w:rsidRPr="00ED2FCF" w:rsidRDefault="00C17F96"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Research Background</w:t>
      </w:r>
    </w:p>
    <w:p w14:paraId="517CC670" w14:textId="77777777" w:rsidR="00C17F96" w:rsidRPr="00ED2FCF" w:rsidRDefault="00C17F96"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The integration of Machine Learning (ML) into quantitative investment has fundamentally reshaped empirical asset pricing. While traditional financial literature has long relied on linear factor models—such as the Capital Asset Pricing Model (CAPM) and the Fama-French multi-factor frameworks—to explain cross-sectional returns, these approaches face significant limitations. Linear models operate under the rigid assumption that the relationship between asset characteristics (factors) and future returns is static and additive. However, financial markets are complex adaptive systems characterized by low signal-to-noise ratios, non-stationarity, and intricate interactions between factors that traditional linear methods often fail to capture. As data dimensionality grows, the inability of linear benchmarks to model complex, time-varying market dynamics has necessitated the exploration of non-linear alternatives.</w:t>
      </w:r>
    </w:p>
    <w:p w14:paraId="3AD5970C" w14:textId="6A7592F5" w:rsidR="00C17F96" w:rsidRPr="00ED2FCF" w:rsidRDefault="00C17F96"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lastRenderedPageBreak/>
        <w:t>Research Motivation</w:t>
      </w:r>
    </w:p>
    <w:p w14:paraId="2F107177" w14:textId="77777777" w:rsidR="00C17F96" w:rsidRPr="00ED2FCF" w:rsidRDefault="00C17F96" w:rsidP="00B13D85">
      <w:p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sz w:val="22"/>
          <w:szCs w:val="22"/>
        </w:rPr>
        <w:t>To address the shortcomings of static linear modeling, this study investigates the efficacy of Deep Learning, specifically Long Short-Term Memory (LSTM) networks, in predicting monthly U.S. equity returns. Unlike cross-sectional regressions (e.g., Ridge Regression) that often treat input features as static snapshots, LSTMs are architecturally designed to process sequential data. By maintaining internal cell states, LSTMs can theoretically capture temporal dependencies and path-dependent patterns—such as the acceleration of momentum or the decay of volatility—over specific historical windows. The primary motivation of this research is to determine whether modeling stock characteristics as a time-series sequence allows LSTMs to extract non-linear alpha signals that remain invisible to standard linear benchmarks, thereby enhancing out-of-sample predictive accuracy.</w:t>
      </w:r>
    </w:p>
    <w:p w14:paraId="24DDAE5C" w14:textId="43BBA64C" w:rsidR="00C17F96" w:rsidRPr="00ED2FCF" w:rsidRDefault="00C17F96"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Contributions</w:t>
      </w:r>
    </w:p>
    <w:p w14:paraId="52DECF04" w14:textId="4B94D0E0" w:rsidR="00C17F96" w:rsidRPr="00ED2FCF" w:rsidRDefault="00C17F96"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Multi-Lookback Comparison Framework</w:t>
      </w:r>
    </w:p>
    <w:p w14:paraId="48B8A2D8" w14:textId="60C321C3" w:rsidR="00C17F96" w:rsidRPr="00ED2FCF" w:rsidRDefault="00C17F96"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We introduce a systematic evaluation of temporal information by training models across varying historical window lengths (</w:t>
      </w:r>
      <m:oMath>
        <m:r>
          <w:rPr>
            <w:rFonts w:ascii="Cambria Math" w:hAnsi="Cambria Math" w:cs="Times New Roman"/>
            <w:sz w:val="22"/>
            <w:szCs w:val="22"/>
          </w:rPr>
          <m:t xml:space="preserve">L </m:t>
        </m:r>
        <m:r>
          <m:rPr>
            <m:sty m:val="p"/>
          </m:rPr>
          <w:rPr>
            <w:rFonts w:ascii="Cambria Math" w:hAnsi="Cambria Math" w:cs="Times New Roman"/>
            <w:sz w:val="22"/>
            <w:szCs w:val="22"/>
          </w:rPr>
          <m:t>∈</m:t>
        </m:r>
        <m:r>
          <m:rPr>
            <m:lit/>
          </m:rPr>
          <w:rPr>
            <w:rFonts w:ascii="Cambria Math" w:hAnsi="Cambria Math" w:cs="Times New Roman"/>
            <w:sz w:val="22"/>
            <w:szCs w:val="22"/>
          </w:rPr>
          <m:t>{</m:t>
        </m:r>
        <m:r>
          <w:rPr>
            <w:rFonts w:ascii="Cambria Math" w:hAnsi="Cambria Math" w:cs="Times New Roman"/>
            <w:sz w:val="22"/>
            <w:szCs w:val="22"/>
          </w:rPr>
          <m:t>6, 12, 24</m:t>
        </m:r>
        <m:r>
          <m:rPr>
            <m:lit/>
          </m:rPr>
          <w:rPr>
            <w:rFonts w:ascii="Cambria Math" w:hAnsi="Cambria Math" w:cs="Times New Roman"/>
            <w:sz w:val="22"/>
            <w:szCs w:val="22"/>
          </w:rPr>
          <m:t>}</m:t>
        </m:r>
      </m:oMath>
      <w:r w:rsidRPr="00ED2FCF">
        <w:rPr>
          <w:rFonts w:ascii="Times New Roman" w:hAnsi="Times New Roman" w:cs="Times New Roman"/>
          <w:sz w:val="22"/>
          <w:szCs w:val="22"/>
        </w:rPr>
        <w:t xml:space="preserve"> months). By benchmarking the LSTM against a linear Ridge Regression across these specific horizons, we isolate the marginal value of longer historical contexts and determine the optimal "memory" required for monthly return forecasting.</w:t>
      </w:r>
    </w:p>
    <w:p w14:paraId="6E4C22DD" w14:textId="4867A795" w:rsidR="00C17F96" w:rsidRPr="00ED2FCF" w:rsidRDefault="00C17F96"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 xml:space="preserve">Strict Time-Aligned </w:t>
      </w:r>
      <w:proofErr w:type="spellStart"/>
      <w:r w:rsidRPr="00ED2FCF">
        <w:rPr>
          <w:rFonts w:ascii="Times New Roman" w:hAnsi="Times New Roman" w:cs="Times New Roman"/>
          <w:b/>
          <w:bCs/>
          <w:sz w:val="22"/>
          <w:szCs w:val="22"/>
        </w:rPr>
        <w:t>Backtesting</w:t>
      </w:r>
      <w:proofErr w:type="spellEnd"/>
      <w:r w:rsidRPr="00ED2FCF">
        <w:rPr>
          <w:rFonts w:ascii="Times New Roman" w:hAnsi="Times New Roman" w:cs="Times New Roman"/>
          <w:b/>
          <w:bCs/>
          <w:sz w:val="22"/>
          <w:szCs w:val="22"/>
        </w:rPr>
        <w:t xml:space="preserve"> Mechanism</w:t>
      </w:r>
    </w:p>
    <w:p w14:paraId="79E275C9" w14:textId="0AEAB8B5" w:rsidR="00C17F96" w:rsidRPr="00ED2FCF" w:rsidRDefault="00C17F96"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To ensure the integrity of our results, we implement a rigorous "walk-forward" validation framework with a unified evaluation starting point (January 2022). This mechanism enforces strict temporal alignment, ensuring that models with longer lookback windows (e.g., </w:t>
      </w:r>
      <m:oMath>
        <m:r>
          <w:rPr>
            <w:rFonts w:ascii="Cambria Math" w:hAnsi="Cambria Math" w:cs="Times New Roman"/>
            <w:sz w:val="22"/>
            <w:szCs w:val="22"/>
          </w:rPr>
          <m:t>L=24</m:t>
        </m:r>
      </m:oMath>
      <w:r w:rsidRPr="00ED2FCF">
        <w:rPr>
          <w:rFonts w:ascii="Times New Roman" w:hAnsi="Times New Roman" w:cs="Times New Roman"/>
          <w:sz w:val="22"/>
          <w:szCs w:val="22"/>
        </w:rPr>
        <w:t>) only utilize data available at the exact moment of prediction. This approach effectively eliminates the look-ahead bias often prevalent in deep learning studies involving long sequences.</w:t>
      </w:r>
    </w:p>
    <w:p w14:paraId="7FCDA9CF" w14:textId="271E01BC" w:rsidR="00C17F96" w:rsidRPr="00ED2FCF" w:rsidRDefault="00C17F96"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Multi-Dimensional Economic Evaluation</w:t>
      </w:r>
    </w:p>
    <w:p w14:paraId="49CA486E" w14:textId="238A5392" w:rsidR="00C17F96" w:rsidRPr="00ED2FCF" w:rsidRDefault="00C17F96"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Moving beyond raw predictive metrics (such as MSE), we evaluate strategy viability through a realistic economic lens. This </w:t>
      </w:r>
      <w:r w:rsidR="00E364CD" w:rsidRPr="00ED2FCF">
        <w:rPr>
          <w:rFonts w:ascii="Times New Roman" w:hAnsi="Times New Roman" w:cs="Times New Roman"/>
          <w:sz w:val="22"/>
          <w:szCs w:val="22"/>
        </w:rPr>
        <w:t xml:space="preserve">includes </w:t>
      </w:r>
      <w:r w:rsidR="00E364CD" w:rsidRPr="00ED2FCF">
        <w:rPr>
          <w:rFonts w:ascii="Times New Roman" w:hAnsi="Times New Roman" w:cs="Times New Roman"/>
          <w:b/>
          <w:bCs/>
          <w:sz w:val="22"/>
          <w:szCs w:val="22"/>
        </w:rPr>
        <w:t xml:space="preserve">1) </w:t>
      </w:r>
      <w:r w:rsidRPr="00ED2FCF">
        <w:rPr>
          <w:rFonts w:ascii="Times New Roman" w:hAnsi="Times New Roman" w:cs="Times New Roman"/>
          <w:b/>
          <w:bCs/>
          <w:sz w:val="22"/>
          <w:szCs w:val="22"/>
        </w:rPr>
        <w:t xml:space="preserve">Regime Conditioning: </w:t>
      </w:r>
      <w:r w:rsidRPr="00ED2FCF">
        <w:rPr>
          <w:rFonts w:ascii="Times New Roman" w:hAnsi="Times New Roman" w:cs="Times New Roman"/>
          <w:sz w:val="22"/>
          <w:szCs w:val="22"/>
        </w:rPr>
        <w:t>Analyzing model performance across distinct macroeconomic states defined by Volatility (VIX) and Interest Rate trends.</w:t>
      </w:r>
      <w:r w:rsidR="00E364CD" w:rsidRPr="00ED2FCF">
        <w:rPr>
          <w:rFonts w:ascii="Times New Roman" w:hAnsi="Times New Roman" w:cs="Times New Roman"/>
          <w:sz w:val="22"/>
          <w:szCs w:val="22"/>
        </w:rPr>
        <w:t xml:space="preserve"> </w:t>
      </w:r>
      <w:r w:rsidR="00E364CD" w:rsidRPr="00ED2FCF">
        <w:rPr>
          <w:rFonts w:ascii="Times New Roman" w:hAnsi="Times New Roman" w:cs="Times New Roman"/>
          <w:b/>
          <w:bCs/>
          <w:sz w:val="22"/>
          <w:szCs w:val="22"/>
        </w:rPr>
        <w:t xml:space="preserve">2) </w:t>
      </w:r>
      <w:r w:rsidRPr="00ED2FCF">
        <w:rPr>
          <w:rFonts w:ascii="Times New Roman" w:hAnsi="Times New Roman" w:cs="Times New Roman"/>
          <w:b/>
          <w:bCs/>
          <w:sz w:val="22"/>
          <w:szCs w:val="22"/>
        </w:rPr>
        <w:t xml:space="preserve">Liquidity-Adjusted Performance: </w:t>
      </w:r>
      <w:r w:rsidRPr="00ED2FCF">
        <w:rPr>
          <w:rFonts w:ascii="Times New Roman" w:hAnsi="Times New Roman" w:cs="Times New Roman"/>
          <w:sz w:val="22"/>
          <w:szCs w:val="22"/>
        </w:rPr>
        <w:t xml:space="preserve">Incorporating the </w:t>
      </w:r>
      <w:r w:rsidRPr="00ED2FCF">
        <w:rPr>
          <w:rFonts w:ascii="Times New Roman" w:hAnsi="Times New Roman" w:cs="Times New Roman"/>
          <w:b/>
          <w:bCs/>
          <w:sz w:val="22"/>
          <w:szCs w:val="22"/>
        </w:rPr>
        <w:t>Corwin-Schultz Spread</w:t>
      </w:r>
      <w:r w:rsidRPr="00ED2FCF">
        <w:rPr>
          <w:rFonts w:ascii="Times New Roman" w:hAnsi="Times New Roman" w:cs="Times New Roman"/>
          <w:sz w:val="22"/>
          <w:szCs w:val="22"/>
        </w:rPr>
        <w:t xml:space="preserve"> estimator to simulate realistic transaction costs. This allows us to assess whether the statistical superiority of non-linear models translates into realized </w:t>
      </w:r>
      <w:r w:rsidRPr="00ED2FCF">
        <w:rPr>
          <w:rFonts w:ascii="Times New Roman" w:hAnsi="Times New Roman" w:cs="Times New Roman"/>
          <w:i/>
          <w:iCs/>
          <w:sz w:val="22"/>
          <w:szCs w:val="22"/>
        </w:rPr>
        <w:t>Net NAV</w:t>
      </w:r>
      <w:r w:rsidRPr="00ED2FCF">
        <w:rPr>
          <w:rFonts w:ascii="Times New Roman" w:hAnsi="Times New Roman" w:cs="Times New Roman"/>
          <w:sz w:val="22"/>
          <w:szCs w:val="22"/>
        </w:rPr>
        <w:t xml:space="preserve"> after accounting for the liquidity premiums inherent in the selected portfolios.</w:t>
      </w:r>
    </w:p>
    <w:p w14:paraId="23E0981B" w14:textId="77777777" w:rsidR="00995533" w:rsidRPr="00ED2FCF" w:rsidRDefault="00D77D1F" w:rsidP="00B13D85">
      <w:pPr>
        <w:pStyle w:val="a9"/>
        <w:numPr>
          <w:ilvl w:val="0"/>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Data and Methodology</w:t>
      </w:r>
    </w:p>
    <w:p w14:paraId="43B4FDBA" w14:textId="59B8DC19" w:rsidR="00D77D1F" w:rsidRPr="00ED2FCF" w:rsidRDefault="00D77D1F"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Data Source and Sample Selection</w:t>
      </w:r>
    </w:p>
    <w:p w14:paraId="6229BB06" w14:textId="3ECE0D8F"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lastRenderedPageBreak/>
        <w:t>The primary dataset for this study comprises monthly equity market data sourced from the Center for Research in Security Prices (CRSP) monthly stock file, accessed via the Wharton Research Data Services (WRDS) platform. To capture high-frequency microstructure dynamics such as realized volatility and liquidity, we integrate supplementary data from the CRSP Daily Stock File. Macroeconomic state variables, specifically the risk-free rate, are obtained from the Fama-French Factors database.</w:t>
      </w:r>
      <w:r w:rsidR="00F50B27" w:rsidRPr="00ED2FCF">
        <w:rPr>
          <w:rFonts w:ascii="Times New Roman" w:hAnsi="Times New Roman" w:cs="Times New Roman"/>
          <w:sz w:val="22"/>
          <w:szCs w:val="22"/>
        </w:rPr>
        <w:t xml:space="preserve"> </w:t>
      </w:r>
      <w:r w:rsidRPr="00ED2FCF">
        <w:rPr>
          <w:rFonts w:ascii="Times New Roman" w:hAnsi="Times New Roman" w:cs="Times New Roman"/>
          <w:sz w:val="22"/>
          <w:szCs w:val="22"/>
        </w:rPr>
        <w:t xml:space="preserve">To ensure the economic significance and </w:t>
      </w:r>
      <w:r w:rsidR="00F50B27" w:rsidRPr="00ED2FCF">
        <w:rPr>
          <w:rFonts w:ascii="Times New Roman" w:hAnsi="Times New Roman" w:cs="Times New Roman"/>
          <w:sz w:val="22"/>
          <w:szCs w:val="22"/>
        </w:rPr>
        <w:t>interpretability</w:t>
      </w:r>
      <w:r w:rsidRPr="00ED2FCF">
        <w:rPr>
          <w:rFonts w:ascii="Times New Roman" w:hAnsi="Times New Roman" w:cs="Times New Roman"/>
          <w:sz w:val="22"/>
          <w:szCs w:val="22"/>
        </w:rPr>
        <w:t xml:space="preserve"> of the results, we apply the following filters to construct the sample universe:</w:t>
      </w:r>
    </w:p>
    <w:p w14:paraId="75F8B83C" w14:textId="77777777" w:rsidR="00D77D1F" w:rsidRPr="00ED2FCF" w:rsidRDefault="00D77D1F" w:rsidP="00B13D85">
      <w:pPr>
        <w:numPr>
          <w:ilvl w:val="0"/>
          <w:numId w:val="3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Asset Class:</w:t>
      </w:r>
      <w:r w:rsidRPr="00ED2FCF">
        <w:rPr>
          <w:rFonts w:ascii="Times New Roman" w:hAnsi="Times New Roman" w:cs="Times New Roman"/>
          <w:sz w:val="22"/>
          <w:szCs w:val="22"/>
        </w:rPr>
        <w:t xml:space="preserve"> We restrict the sample to ordinary common shares (Share Codes 10 and 11).</w:t>
      </w:r>
    </w:p>
    <w:p w14:paraId="61C0CB95" w14:textId="77777777" w:rsidR="00D77D1F" w:rsidRPr="00ED2FCF" w:rsidRDefault="00D77D1F" w:rsidP="00B13D85">
      <w:pPr>
        <w:numPr>
          <w:ilvl w:val="0"/>
          <w:numId w:val="3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Exchange Coverage:</w:t>
      </w:r>
      <w:r w:rsidRPr="00ED2FCF">
        <w:rPr>
          <w:rFonts w:ascii="Times New Roman" w:hAnsi="Times New Roman" w:cs="Times New Roman"/>
          <w:sz w:val="22"/>
          <w:szCs w:val="22"/>
        </w:rPr>
        <w:t xml:space="preserve"> The universe includes stocks listed on the three major U.S. exchanges: NYSE, AMEX, and NASDAQ (Exchange Codes 1, 2, and 3).</w:t>
      </w:r>
    </w:p>
    <w:p w14:paraId="3C4F01A6" w14:textId="77777777" w:rsidR="00D77D1F" w:rsidRPr="00ED2FCF" w:rsidRDefault="00D77D1F" w:rsidP="00B13D85">
      <w:pPr>
        <w:numPr>
          <w:ilvl w:val="0"/>
          <w:numId w:val="3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Time Horizon:</w:t>
      </w:r>
      <w:r w:rsidRPr="00ED2FCF">
        <w:rPr>
          <w:rFonts w:ascii="Times New Roman" w:hAnsi="Times New Roman" w:cs="Times New Roman"/>
          <w:sz w:val="22"/>
          <w:szCs w:val="22"/>
        </w:rPr>
        <w:t xml:space="preserve"> The study covers the period from </w:t>
      </w:r>
      <w:r w:rsidRPr="00ED2FCF">
        <w:rPr>
          <w:rFonts w:ascii="Times New Roman" w:hAnsi="Times New Roman" w:cs="Times New Roman"/>
          <w:b/>
          <w:bCs/>
          <w:sz w:val="22"/>
          <w:szCs w:val="22"/>
        </w:rPr>
        <w:t>January 2005 to November 2024</w:t>
      </w:r>
      <w:r w:rsidRPr="00ED2FCF">
        <w:rPr>
          <w:rFonts w:ascii="Times New Roman" w:hAnsi="Times New Roman" w:cs="Times New Roman"/>
          <w:sz w:val="22"/>
          <w:szCs w:val="22"/>
        </w:rPr>
        <w:t>.</w:t>
      </w:r>
    </w:p>
    <w:p w14:paraId="7DB1DD6A" w14:textId="77777777"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To prevent information leakage and ensure a robust Out-of-Sample (OOS) evaluation, the data is partitioned chronologically:</w:t>
      </w:r>
    </w:p>
    <w:p w14:paraId="2B881469" w14:textId="77777777" w:rsidR="00D77D1F" w:rsidRPr="00ED2FCF" w:rsidRDefault="00D77D1F" w:rsidP="00B13D85">
      <w:pPr>
        <w:numPr>
          <w:ilvl w:val="0"/>
          <w:numId w:val="38"/>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Training Set (In-Sample):</w:t>
      </w:r>
      <w:r w:rsidRPr="00ED2FCF">
        <w:rPr>
          <w:rFonts w:ascii="Times New Roman" w:hAnsi="Times New Roman" w:cs="Times New Roman"/>
          <w:sz w:val="22"/>
          <w:szCs w:val="22"/>
        </w:rPr>
        <w:t xml:space="preserve"> 2005-01 to 2018-12 (approx. 14 years), used for model parameter optimization.</w:t>
      </w:r>
    </w:p>
    <w:p w14:paraId="1E83BF03" w14:textId="77777777" w:rsidR="00D77D1F" w:rsidRPr="00ED2FCF" w:rsidRDefault="00D77D1F" w:rsidP="00B13D85">
      <w:pPr>
        <w:numPr>
          <w:ilvl w:val="0"/>
          <w:numId w:val="38"/>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Validation Set:</w:t>
      </w:r>
      <w:r w:rsidRPr="00ED2FCF">
        <w:rPr>
          <w:rFonts w:ascii="Times New Roman" w:hAnsi="Times New Roman" w:cs="Times New Roman"/>
          <w:sz w:val="22"/>
          <w:szCs w:val="22"/>
        </w:rPr>
        <w:t xml:space="preserve"> 2019-01 to 2022-01 (3 years), reserved for hyperparameter tuning and early stopping mechanisms.</w:t>
      </w:r>
    </w:p>
    <w:p w14:paraId="3F4398C7" w14:textId="7C2DF0CE" w:rsidR="00D77D1F" w:rsidRPr="00ED2FCF" w:rsidRDefault="00D77D1F" w:rsidP="00B13D85">
      <w:pPr>
        <w:numPr>
          <w:ilvl w:val="0"/>
          <w:numId w:val="38"/>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Testing Set (Out-of-Sample):</w:t>
      </w:r>
      <w:r w:rsidRPr="00ED2FCF">
        <w:rPr>
          <w:rFonts w:ascii="Times New Roman" w:hAnsi="Times New Roman" w:cs="Times New Roman"/>
          <w:sz w:val="22"/>
          <w:szCs w:val="22"/>
        </w:rPr>
        <w:t xml:space="preserve"> 2022-01 to 202</w:t>
      </w:r>
      <w:r w:rsidR="00A109EC">
        <w:rPr>
          <w:rFonts w:ascii="Times New Roman" w:hAnsi="Times New Roman" w:cs="Times New Roman" w:hint="eastAsia"/>
          <w:sz w:val="22"/>
          <w:szCs w:val="22"/>
        </w:rPr>
        <w:t>5</w:t>
      </w:r>
      <w:r w:rsidRPr="00ED2FCF">
        <w:rPr>
          <w:rFonts w:ascii="Times New Roman" w:hAnsi="Times New Roman" w:cs="Times New Roman"/>
          <w:sz w:val="22"/>
          <w:szCs w:val="22"/>
        </w:rPr>
        <w:t>-1</w:t>
      </w:r>
      <w:r w:rsidR="00A109EC">
        <w:rPr>
          <w:rFonts w:ascii="Times New Roman" w:hAnsi="Times New Roman" w:cs="Times New Roman" w:hint="eastAsia"/>
          <w:sz w:val="22"/>
          <w:szCs w:val="22"/>
        </w:rPr>
        <w:t>1</w:t>
      </w:r>
      <w:r w:rsidRPr="00ED2FCF">
        <w:rPr>
          <w:rFonts w:ascii="Times New Roman" w:hAnsi="Times New Roman" w:cs="Times New Roman"/>
          <w:sz w:val="22"/>
          <w:szCs w:val="22"/>
        </w:rPr>
        <w:t xml:space="preserve"> (approx. 3 years). Crucially, a </w:t>
      </w:r>
      <w:r w:rsidRPr="00ED2FCF">
        <w:rPr>
          <w:rFonts w:ascii="Times New Roman" w:hAnsi="Times New Roman" w:cs="Times New Roman"/>
          <w:b/>
          <w:bCs/>
          <w:sz w:val="22"/>
          <w:szCs w:val="22"/>
        </w:rPr>
        <w:t>Unified Evaluation Start Date (January 31, 2022)</w:t>
      </w:r>
      <w:r w:rsidRPr="00ED2FCF">
        <w:rPr>
          <w:rFonts w:ascii="Times New Roman" w:hAnsi="Times New Roman" w:cs="Times New Roman"/>
          <w:sz w:val="22"/>
          <w:szCs w:val="22"/>
        </w:rPr>
        <w:t xml:space="preserve"> is enforced across all models—regardless of their lookback window length (</w:t>
      </w:r>
      <m:oMath>
        <m:r>
          <w:rPr>
            <w:rFonts w:ascii="Cambria Math" w:hAnsi="Cambria Math" w:cs="Times New Roman"/>
            <w:sz w:val="22"/>
            <w:szCs w:val="22"/>
          </w:rPr>
          <m:t>L</m:t>
        </m:r>
      </m:oMath>
      <w:r w:rsidRPr="00ED2FCF">
        <w:rPr>
          <w:rFonts w:ascii="Times New Roman" w:hAnsi="Times New Roman" w:cs="Times New Roman"/>
          <w:sz w:val="22"/>
          <w:szCs w:val="22"/>
        </w:rPr>
        <w:t>)—to ensure performance is compared under identical market environments.</w:t>
      </w:r>
    </w:p>
    <w:p w14:paraId="1F48D719" w14:textId="3F187A73" w:rsidR="00D77D1F" w:rsidRPr="00ED2FCF" w:rsidRDefault="00D77D1F"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Feature Engineering</w:t>
      </w:r>
    </w:p>
    <w:p w14:paraId="48709487" w14:textId="3C523E6C"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We construct a multi-dimensional feature vector </w:t>
      </w:r>
      <m:oMath>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i,t</m:t>
            </m:r>
          </m:sub>
        </m:sSub>
      </m:oMath>
      <w:r w:rsidRPr="00ED2FCF">
        <w:rPr>
          <w:rFonts w:ascii="Times New Roman" w:hAnsi="Times New Roman" w:cs="Times New Roman"/>
          <w:sz w:val="22"/>
          <w:szCs w:val="22"/>
        </w:rPr>
        <w:t xml:space="preserve"> for each stock </w:t>
      </w:r>
      <m:oMath>
        <m:r>
          <w:rPr>
            <w:rFonts w:ascii="Cambria Math" w:hAnsi="Cambria Math" w:cs="Times New Roman"/>
            <w:sz w:val="22"/>
            <w:szCs w:val="22"/>
          </w:rPr>
          <m:t>i</m:t>
        </m:r>
      </m:oMath>
      <w:r w:rsidRPr="00ED2FCF">
        <w:rPr>
          <w:rFonts w:ascii="Times New Roman" w:hAnsi="Times New Roman" w:cs="Times New Roman"/>
          <w:sz w:val="22"/>
          <w:szCs w:val="22"/>
        </w:rPr>
        <w:t xml:space="preserve"> at month </w:t>
      </w:r>
      <m:oMath>
        <m:r>
          <w:rPr>
            <w:rFonts w:ascii="Cambria Math" w:hAnsi="Cambria Math" w:cs="Times New Roman"/>
            <w:sz w:val="22"/>
            <w:szCs w:val="22"/>
          </w:rPr>
          <m:t>t</m:t>
        </m:r>
      </m:oMath>
      <w:r w:rsidRPr="00ED2FCF">
        <w:rPr>
          <w:rFonts w:ascii="Times New Roman" w:hAnsi="Times New Roman" w:cs="Times New Roman"/>
          <w:sz w:val="22"/>
          <w:szCs w:val="22"/>
        </w:rPr>
        <w:t>, designed to capture momentum, mean reversion, and market regimes.</w:t>
      </w:r>
    </w:p>
    <w:p w14:paraId="21FECC99" w14:textId="3FDF6064"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Stock-Level Feature</w:t>
      </w:r>
      <w:r w:rsidR="00F50B27" w:rsidRPr="00ED2FCF">
        <w:rPr>
          <w:rFonts w:ascii="Times New Roman" w:hAnsi="Times New Roman" w:cs="Times New Roman"/>
          <w:b/>
          <w:bCs/>
          <w:sz w:val="22"/>
          <w:szCs w:val="22"/>
        </w:rPr>
        <w:t>s</w:t>
      </w:r>
    </w:p>
    <w:p w14:paraId="46FBBCFC" w14:textId="7A534CE3" w:rsidR="00D77D1F" w:rsidRPr="00ED2FCF" w:rsidRDefault="00D77D1F" w:rsidP="00E17CF0">
      <w:pPr>
        <w:numPr>
          <w:ilvl w:val="0"/>
          <w:numId w:val="38"/>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Price Momentum: </w:t>
      </w:r>
      <w:r w:rsidRPr="00ED2FCF">
        <w:rPr>
          <w:rFonts w:ascii="Times New Roman" w:hAnsi="Times New Roman" w:cs="Times New Roman"/>
          <w:sz w:val="22"/>
          <w:szCs w:val="22"/>
        </w:rPr>
        <w:t>Calculated using geometric cumulative returns over distinct horizons: Short-Term (</w:t>
      </w:r>
      <m:oMath>
        <m:r>
          <w:rPr>
            <w:rFonts w:ascii="Cambria Math" w:hAnsi="Cambria Math" w:cs="Times New Roman"/>
            <w:sz w:val="22"/>
            <w:szCs w:val="22"/>
          </w:rPr>
          <m:t>Mo</m:t>
        </m:r>
        <m:sSub>
          <m:sSubPr>
            <m:ctrlPr>
              <w:rPr>
                <w:rFonts w:ascii="Cambria Math" w:hAnsi="Cambria Math" w:cs="Times New Roman"/>
                <w:sz w:val="22"/>
                <w:szCs w:val="22"/>
              </w:rPr>
            </m:ctrlPr>
          </m:sSubPr>
          <m:e>
            <m:r>
              <w:rPr>
                <w:rFonts w:ascii="Cambria Math" w:hAnsi="Cambria Math" w:cs="Times New Roman"/>
                <w:sz w:val="22"/>
                <w:szCs w:val="22"/>
              </w:rPr>
              <m:t>m</m:t>
            </m:r>
          </m:e>
          <m:sub>
            <m:r>
              <m:rPr>
                <m:sty m:val="p"/>
              </m:rPr>
              <w:rPr>
                <w:rFonts w:ascii="Cambria Math" w:hAnsi="Cambria Math" w:cs="Times New Roman"/>
                <w:sz w:val="22"/>
                <w:szCs w:val="22"/>
              </w:rPr>
              <m:t>3</m:t>
            </m:r>
            <m:r>
              <w:rPr>
                <w:rFonts w:ascii="Cambria Math" w:hAnsi="Cambria Math" w:cs="Times New Roman"/>
                <w:sz w:val="22"/>
                <w:szCs w:val="22"/>
              </w:rPr>
              <m:t>m</m:t>
            </m:r>
          </m:sub>
        </m:sSub>
      </m:oMath>
      <w:r w:rsidRPr="00ED2FCF">
        <w:rPr>
          <w:rFonts w:ascii="Times New Roman" w:hAnsi="Times New Roman" w:cs="Times New Roman"/>
          <w:sz w:val="22"/>
          <w:szCs w:val="22"/>
        </w:rPr>
        <w:t>) and Long-Term (</w:t>
      </w:r>
      <m:oMath>
        <m:r>
          <w:rPr>
            <w:rFonts w:ascii="Cambria Math" w:hAnsi="Cambria Math" w:cs="Times New Roman"/>
            <w:sz w:val="22"/>
            <w:szCs w:val="22"/>
          </w:rPr>
          <m:t>Mo</m:t>
        </m:r>
        <m:sSub>
          <m:sSubPr>
            <m:ctrlPr>
              <w:rPr>
                <w:rFonts w:ascii="Cambria Math" w:hAnsi="Cambria Math" w:cs="Times New Roman"/>
                <w:sz w:val="22"/>
                <w:szCs w:val="22"/>
              </w:rPr>
            </m:ctrlPr>
          </m:sSubPr>
          <m:e>
            <m:r>
              <w:rPr>
                <w:rFonts w:ascii="Cambria Math" w:hAnsi="Cambria Math" w:cs="Times New Roman"/>
                <w:sz w:val="22"/>
                <w:szCs w:val="22"/>
              </w:rPr>
              <m:t>m</m:t>
            </m:r>
          </m:e>
          <m:sub>
            <m:r>
              <m:rPr>
                <m:sty m:val="p"/>
              </m:rPr>
              <w:rPr>
                <w:rFonts w:ascii="Cambria Math" w:hAnsi="Cambria Math" w:cs="Times New Roman"/>
                <w:sz w:val="22"/>
                <w:szCs w:val="22"/>
              </w:rPr>
              <m:t>12</m:t>
            </m:r>
            <m:r>
              <w:rPr>
                <w:rFonts w:ascii="Cambria Math" w:hAnsi="Cambria Math" w:cs="Times New Roman"/>
                <w:sz w:val="22"/>
                <w:szCs w:val="22"/>
              </w:rPr>
              <m:t>m</m:t>
            </m:r>
          </m:sub>
        </m:sSub>
      </m:oMath>
      <w:r w:rsidRPr="00ED2FCF">
        <w:rPr>
          <w:rFonts w:ascii="Times New Roman" w:hAnsi="Times New Roman" w:cs="Times New Roman"/>
          <w:sz w:val="22"/>
          <w:szCs w:val="22"/>
        </w:rPr>
        <w:t>).</w:t>
      </w:r>
    </w:p>
    <w:p w14:paraId="428DDA40" w14:textId="50EE2971" w:rsidR="00D77D1F" w:rsidRPr="00ED2FCF" w:rsidRDefault="00D77D1F" w:rsidP="00E17CF0">
      <w:pPr>
        <w:numPr>
          <w:ilvl w:val="0"/>
          <w:numId w:val="38"/>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Realized Volatility: </w:t>
      </w:r>
      <w:r w:rsidRPr="00ED2FCF">
        <w:rPr>
          <w:rFonts w:ascii="Times New Roman" w:hAnsi="Times New Roman" w:cs="Times New Roman"/>
          <w:sz w:val="22"/>
          <w:szCs w:val="22"/>
        </w:rPr>
        <w:t>The annualized standard deviation of monthly returns, computed over a rolling 6-month window (</w:t>
      </w:r>
      <m:oMath>
        <m:r>
          <w:rPr>
            <w:rFonts w:ascii="Cambria Math" w:hAnsi="Cambria Math" w:cs="Times New Roman"/>
            <w:sz w:val="22"/>
            <w:szCs w:val="22"/>
          </w:rPr>
          <m:t>Vo</m:t>
        </m:r>
        <m:sSub>
          <m:sSubPr>
            <m:ctrlPr>
              <w:rPr>
                <w:rFonts w:ascii="Cambria Math" w:hAnsi="Cambria Math" w:cs="Times New Roman"/>
                <w:sz w:val="22"/>
                <w:szCs w:val="22"/>
              </w:rPr>
            </m:ctrlPr>
          </m:sSubPr>
          <m:e>
            <m:r>
              <w:rPr>
                <w:rFonts w:ascii="Cambria Math" w:hAnsi="Cambria Math" w:cs="Times New Roman"/>
                <w:sz w:val="22"/>
                <w:szCs w:val="22"/>
              </w:rPr>
              <m:t>l</m:t>
            </m:r>
          </m:e>
          <m:sub>
            <m:r>
              <m:rPr>
                <m:sty m:val="p"/>
              </m:rPr>
              <w:rPr>
                <w:rFonts w:ascii="Cambria Math" w:hAnsi="Cambria Math" w:cs="Times New Roman"/>
                <w:sz w:val="22"/>
                <w:szCs w:val="22"/>
              </w:rPr>
              <m:t>6</m:t>
            </m:r>
            <m:r>
              <w:rPr>
                <w:rFonts w:ascii="Cambria Math" w:hAnsi="Cambria Math" w:cs="Times New Roman"/>
                <w:sz w:val="22"/>
                <w:szCs w:val="22"/>
              </w:rPr>
              <m:t>m</m:t>
            </m:r>
          </m:sub>
        </m:sSub>
      </m:oMath>
      <w:r w:rsidRPr="00ED2FCF">
        <w:rPr>
          <w:rFonts w:ascii="Times New Roman" w:hAnsi="Times New Roman" w:cs="Times New Roman"/>
          <w:sz w:val="22"/>
          <w:szCs w:val="22"/>
        </w:rPr>
        <w:t>) to gauge idiosyncratic risk.</w:t>
      </w:r>
    </w:p>
    <w:p w14:paraId="56FAA6C2" w14:textId="2F5938D8" w:rsidR="00D77D1F" w:rsidRPr="00ED2FCF" w:rsidRDefault="00D77D1F" w:rsidP="00E17CF0">
      <w:pPr>
        <w:numPr>
          <w:ilvl w:val="0"/>
          <w:numId w:val="38"/>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Price &amp; Volume Dynamics: </w:t>
      </w:r>
      <w:r w:rsidRPr="00ED2FCF">
        <w:rPr>
          <w:rFonts w:ascii="Times New Roman" w:hAnsi="Times New Roman" w:cs="Times New Roman"/>
          <w:sz w:val="22"/>
          <w:szCs w:val="22"/>
        </w:rPr>
        <w:t>Logarithmic changes in price (</w:t>
      </w:r>
      <m:oMath>
        <m:r>
          <m:rPr>
            <m:sty m:val="p"/>
          </m:rPr>
          <w:rPr>
            <w:rFonts w:ascii="Cambria Math" w:hAnsi="Cambria Math" w:cs="Times New Roman"/>
            <w:sz w:val="22"/>
            <w:szCs w:val="22"/>
          </w:rPr>
          <m:t>Δ</m:t>
        </m:r>
        <m:func>
          <m:funcPr>
            <m:ctrlPr>
              <w:rPr>
                <w:rFonts w:ascii="Cambria Math" w:hAnsi="Cambria Math" w:cs="Times New Roman"/>
                <w:sz w:val="22"/>
                <w:szCs w:val="22"/>
              </w:rPr>
            </m:ctrlPr>
          </m:funcPr>
          <m:fName>
            <m:r>
              <m:rPr>
                <m:sty m:val="p"/>
              </m:rPr>
              <w:rPr>
                <w:rFonts w:ascii="Cambria Math" w:hAnsi="Cambria Math" w:cs="Times New Roman"/>
                <w:sz w:val="22"/>
                <w:szCs w:val="22"/>
              </w:rPr>
              <m:t>ln</m:t>
            </m:r>
          </m:fName>
          <m:e>
            <m:sSub>
              <m:sSubPr>
                <m:ctrlPr>
                  <w:rPr>
                    <w:rFonts w:ascii="Cambria Math" w:hAnsi="Cambria Math" w:cs="Times New Roman"/>
                    <w:sz w:val="22"/>
                    <w:szCs w:val="22"/>
                  </w:rPr>
                </m:ctrlPr>
              </m:sSubPr>
              <m:e>
                <m:r>
                  <w:rPr>
                    <w:rFonts w:ascii="Cambria Math" w:hAnsi="Cambria Math" w:cs="Times New Roman"/>
                    <w:sz w:val="22"/>
                    <w:szCs w:val="22"/>
                  </w:rPr>
                  <m:t>P</m:t>
                </m:r>
              </m:e>
              <m:sub>
                <m:r>
                  <w:rPr>
                    <w:rFonts w:ascii="Cambria Math" w:hAnsi="Cambria Math" w:cs="Times New Roman"/>
                    <w:sz w:val="22"/>
                    <w:szCs w:val="22"/>
                  </w:rPr>
                  <m:t>t</m:t>
                </m:r>
              </m:sub>
            </m:sSub>
          </m:e>
        </m:func>
      </m:oMath>
      <w:r w:rsidRPr="00ED2FCF">
        <w:rPr>
          <w:rFonts w:ascii="Times New Roman" w:hAnsi="Times New Roman" w:cs="Times New Roman"/>
          <w:sz w:val="22"/>
          <w:szCs w:val="22"/>
        </w:rPr>
        <w:t>) and trading volume (</w:t>
      </w:r>
      <m:oMath>
        <m:r>
          <m:rPr>
            <m:sty m:val="p"/>
          </m:rPr>
          <w:rPr>
            <w:rFonts w:ascii="Cambria Math" w:hAnsi="Cambria Math" w:cs="Times New Roman"/>
            <w:sz w:val="22"/>
            <w:szCs w:val="22"/>
          </w:rPr>
          <m:t>Δ</m:t>
        </m:r>
        <m:func>
          <m:funcPr>
            <m:ctrlPr>
              <w:rPr>
                <w:rFonts w:ascii="Cambria Math" w:hAnsi="Cambria Math" w:cs="Times New Roman"/>
                <w:sz w:val="22"/>
                <w:szCs w:val="22"/>
              </w:rPr>
            </m:ctrlPr>
          </m:funcPr>
          <m:fName>
            <m:r>
              <m:rPr>
                <m:sty m:val="p"/>
              </m:rPr>
              <w:rPr>
                <w:rFonts w:ascii="Cambria Math" w:hAnsi="Cambria Math" w:cs="Times New Roman"/>
                <w:sz w:val="22"/>
                <w:szCs w:val="22"/>
              </w:rPr>
              <m:t>ln</m:t>
            </m:r>
          </m:fName>
          <m:e>
            <m:sSub>
              <m:sSubPr>
                <m:ctrlPr>
                  <w:rPr>
                    <w:rFonts w:ascii="Cambria Math" w:hAnsi="Cambria Math" w:cs="Times New Roman"/>
                    <w:sz w:val="22"/>
                    <w:szCs w:val="22"/>
                  </w:rPr>
                </m:ctrlPr>
              </m:sSubPr>
              <m:e>
                <m:r>
                  <w:rPr>
                    <w:rFonts w:ascii="Cambria Math" w:hAnsi="Cambria Math" w:cs="Times New Roman"/>
                    <w:sz w:val="22"/>
                    <w:szCs w:val="22"/>
                  </w:rPr>
                  <m:t>V</m:t>
                </m:r>
              </m:e>
              <m:sub>
                <m:r>
                  <w:rPr>
                    <w:rFonts w:ascii="Cambria Math" w:hAnsi="Cambria Math" w:cs="Times New Roman"/>
                    <w:sz w:val="22"/>
                    <w:szCs w:val="22"/>
                  </w:rPr>
                  <m:t>t</m:t>
                </m:r>
              </m:sub>
            </m:sSub>
          </m:e>
        </m:func>
      </m:oMath>
      <w:r w:rsidRPr="00ED2FCF">
        <w:rPr>
          <w:rFonts w:ascii="Times New Roman" w:hAnsi="Times New Roman" w:cs="Times New Roman"/>
          <w:sz w:val="22"/>
          <w:szCs w:val="22"/>
        </w:rPr>
        <w:t>) are included to capture immediate price action and liquidity demand shifts.</w:t>
      </w:r>
    </w:p>
    <w:p w14:paraId="68DC54B0" w14:textId="77777777" w:rsidR="00D77D1F" w:rsidRPr="00ED2FCF" w:rsidRDefault="00D77D1F" w:rsidP="00E17CF0">
      <w:pPr>
        <w:numPr>
          <w:ilvl w:val="0"/>
          <w:numId w:val="38"/>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Liquidity Proxy (Corwin-Schultz Spread): </w:t>
      </w:r>
      <w:r w:rsidRPr="00ED2FCF">
        <w:rPr>
          <w:rFonts w:ascii="Times New Roman" w:hAnsi="Times New Roman" w:cs="Times New Roman"/>
          <w:sz w:val="22"/>
          <w:szCs w:val="22"/>
        </w:rPr>
        <w:t>We derive the high-low bid-ask spread estimator based on Corwin and Schultz (2012) using daily high/low prices, aggregated to a monthly average. This serves as a proxy for transaction costs and illiquidity premiums.</w:t>
      </w:r>
    </w:p>
    <w:p w14:paraId="67A9D993" w14:textId="33F07D9B"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lastRenderedPageBreak/>
        <w:t>Macroeconomic State Variables</w:t>
      </w:r>
    </w:p>
    <w:p w14:paraId="55BAEE8E" w14:textId="77777777" w:rsidR="00D77D1F" w:rsidRPr="00ED2FCF" w:rsidRDefault="00D77D1F" w:rsidP="00B13D85">
      <w:pPr>
        <w:numPr>
          <w:ilvl w:val="0"/>
          <w:numId w:val="40"/>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VIX Proxy:</w:t>
      </w:r>
      <w:r w:rsidRPr="00ED2FCF">
        <w:rPr>
          <w:rFonts w:ascii="Times New Roman" w:hAnsi="Times New Roman" w:cs="Times New Roman"/>
          <w:sz w:val="22"/>
          <w:szCs w:val="22"/>
        </w:rPr>
        <w:t xml:space="preserve"> The annualized rolling volatility of the CRSP Value-Weighted Market Index, calculated over a 63-day window.</w:t>
      </w:r>
    </w:p>
    <w:p w14:paraId="7F5EA3B6" w14:textId="77777777" w:rsidR="00D77D1F" w:rsidRPr="00ED2FCF" w:rsidRDefault="00D77D1F" w:rsidP="00B13D85">
      <w:pPr>
        <w:numPr>
          <w:ilvl w:val="0"/>
          <w:numId w:val="40"/>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Risk-Free Rate:</w:t>
      </w:r>
      <w:r w:rsidRPr="00ED2FCF">
        <w:rPr>
          <w:rFonts w:ascii="Times New Roman" w:hAnsi="Times New Roman" w:cs="Times New Roman"/>
          <w:sz w:val="22"/>
          <w:szCs w:val="22"/>
        </w:rPr>
        <w:t xml:space="preserve"> The 1-month Treasury Bill rate.</w:t>
      </w:r>
    </w:p>
    <w:p w14:paraId="6CBB6D0F" w14:textId="2C0F665F"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Rolling Z-Score Normalization</w:t>
      </w:r>
    </w:p>
    <w:p w14:paraId="6D53C0AC" w14:textId="3371CDD4"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Financial time series are inherently non-stationary. To mitigate this, features are not globally normalized but standardized using a Rolling Z-Score with a 6-month lookback window. For a feature </w:t>
      </w:r>
      <m:oMath>
        <m:r>
          <w:rPr>
            <w:rFonts w:ascii="Cambria Math" w:hAnsi="Cambria Math" w:cs="Times New Roman"/>
            <w:sz w:val="22"/>
            <w:szCs w:val="22"/>
          </w:rPr>
          <m:t>f</m:t>
        </m:r>
      </m:oMath>
      <w:r w:rsidRPr="00ED2FCF">
        <w:rPr>
          <w:rFonts w:ascii="Times New Roman" w:hAnsi="Times New Roman" w:cs="Times New Roman"/>
          <w:sz w:val="22"/>
          <w:szCs w:val="22"/>
        </w:rPr>
        <w:t>, the input is transformed as:</w:t>
      </w:r>
    </w:p>
    <w:p w14:paraId="411379CD" w14:textId="42582230" w:rsidR="00D77D1F" w:rsidRPr="00ED2FCF" w:rsidRDefault="00000000" w:rsidP="00B13D85">
      <w:pPr>
        <w:jc w:val="both"/>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Z</m:t>
              </m:r>
            </m:e>
            <m:sub>
              <m:r>
                <w:rPr>
                  <w:rFonts w:ascii="Cambria Math" w:hAnsi="Cambria Math" w:cs="Times New Roman"/>
                  <w:sz w:val="22"/>
                  <w:szCs w:val="22"/>
                </w:rPr>
                <m:t>i,t</m:t>
              </m:r>
            </m:sub>
          </m:sSub>
          <m:r>
            <w:rPr>
              <w:rFonts w:ascii="Cambria Math" w:hAnsi="Cambria Math" w:cs="Times New Roman"/>
              <w:sz w:val="22"/>
              <w:szCs w:val="22"/>
            </w:rPr>
            <m:t>=</m:t>
          </m:r>
          <m:f>
            <m:fPr>
              <m:ctrlPr>
                <w:rPr>
                  <w:rFonts w:ascii="Cambria Math" w:hAnsi="Cambria Math" w:cs="Times New Roman"/>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f</m:t>
                  </m:r>
                </m:e>
                <m:sub>
                  <m:r>
                    <w:rPr>
                      <w:rFonts w:ascii="Cambria Math" w:hAnsi="Cambria Math" w:cs="Times New Roman"/>
                      <w:sz w:val="22"/>
                      <w:szCs w:val="22"/>
                    </w:rPr>
                    <m:t>i,t</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μ</m:t>
                  </m:r>
                </m:e>
                <m:sub>
                  <m:r>
                    <w:rPr>
                      <w:rFonts w:ascii="Cambria Math" w:hAnsi="Cambria Math" w:cs="Times New Roman"/>
                      <w:sz w:val="22"/>
                      <w:szCs w:val="22"/>
                    </w:rPr>
                    <m:t>i,t-6:t</m:t>
                  </m:r>
                </m:sub>
              </m:sSub>
              <m:ctrlPr>
                <w:rPr>
                  <w:rFonts w:ascii="Cambria Math" w:hAnsi="Cambria Math" w:cs="Times New Roman"/>
                  <w:i/>
                  <w:sz w:val="22"/>
                  <w:szCs w:val="22"/>
                </w:rPr>
              </m:ctrlPr>
            </m:num>
            <m:den>
              <m:sSub>
                <m:sSubPr>
                  <m:ctrlPr>
                    <w:rPr>
                      <w:rFonts w:ascii="Cambria Math" w:hAnsi="Cambria Math" w:cs="Times New Roman"/>
                      <w:i/>
                      <w:sz w:val="22"/>
                      <w:szCs w:val="22"/>
                    </w:rPr>
                  </m:ctrlPr>
                </m:sSubPr>
                <m:e>
                  <m:r>
                    <w:rPr>
                      <w:rFonts w:ascii="Cambria Math" w:hAnsi="Cambria Math" w:cs="Times New Roman"/>
                      <w:sz w:val="22"/>
                      <w:szCs w:val="22"/>
                    </w:rPr>
                    <m:t>σ</m:t>
                  </m:r>
                </m:e>
                <m:sub>
                  <m:r>
                    <w:rPr>
                      <w:rFonts w:ascii="Cambria Math" w:hAnsi="Cambria Math" w:cs="Times New Roman"/>
                      <w:sz w:val="22"/>
                      <w:szCs w:val="22"/>
                    </w:rPr>
                    <m:t>i,t-6:t</m:t>
                  </m:r>
                </m:sub>
              </m:sSub>
              <m:ctrlPr>
                <w:rPr>
                  <w:rFonts w:ascii="Cambria Math" w:hAnsi="Cambria Math" w:cs="Times New Roman"/>
                  <w:i/>
                  <w:sz w:val="22"/>
                  <w:szCs w:val="22"/>
                </w:rPr>
              </m:ctrlPr>
            </m:den>
          </m:f>
        </m:oMath>
      </m:oMathPara>
    </w:p>
    <w:p w14:paraId="233475EE" w14:textId="77777777"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This ensures the model learns from the relative magnitude of factors compared to their recent history, preserving local signal patterns while removing long-term trends.</w:t>
      </w:r>
    </w:p>
    <w:p w14:paraId="2E9CF7BD" w14:textId="3AD4CFA8" w:rsidR="00D77D1F" w:rsidRPr="00ED2FCF" w:rsidRDefault="00D77D1F"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Model Architecture: LSTM</w:t>
      </w:r>
    </w:p>
    <w:p w14:paraId="59B1B11F" w14:textId="77777777"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Network Specification</w:t>
      </w:r>
    </w:p>
    <w:p w14:paraId="10E4C968" w14:textId="73274194" w:rsidR="00D77D1F" w:rsidRPr="00ED2FCF" w:rsidRDefault="00D77D1F" w:rsidP="00B13D85">
      <w:pPr>
        <w:numPr>
          <w:ilvl w:val="0"/>
          <w:numId w:val="41"/>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Input Dimension:</w:t>
      </w:r>
      <w:r w:rsidRPr="00ED2FCF">
        <w:rPr>
          <w:rFonts w:ascii="Times New Roman" w:hAnsi="Times New Roman" w:cs="Times New Roman"/>
          <w:sz w:val="22"/>
          <w:szCs w:val="22"/>
        </w:rPr>
        <w:t xml:space="preserve"> The model accepts a sequence tensor of shape </w:t>
      </w:r>
      <m:oMath>
        <m:d>
          <m:dPr>
            <m:ctrlPr>
              <w:rPr>
                <w:rFonts w:ascii="Cambria Math" w:hAnsi="Cambria Math" w:cs="Times New Roman"/>
                <w:i/>
                <w:sz w:val="22"/>
                <w:szCs w:val="22"/>
              </w:rPr>
            </m:ctrlPr>
          </m:dPr>
          <m:e>
            <m:r>
              <w:rPr>
                <w:rFonts w:ascii="Cambria Math" w:hAnsi="Cambria Math" w:cs="Times New Roman"/>
                <w:sz w:val="22"/>
                <w:szCs w:val="22"/>
              </w:rPr>
              <m:t>B,L,F</m:t>
            </m:r>
          </m:e>
        </m:d>
      </m:oMath>
      <w:r w:rsidRPr="00ED2FCF">
        <w:rPr>
          <w:rFonts w:ascii="Times New Roman" w:hAnsi="Times New Roman" w:cs="Times New Roman"/>
          <w:sz w:val="22"/>
          <w:szCs w:val="22"/>
        </w:rPr>
        <w:t xml:space="preserve">, where </w:t>
      </w:r>
      <m:oMath>
        <m:r>
          <w:rPr>
            <w:rFonts w:ascii="Cambria Math" w:hAnsi="Cambria Math" w:cs="Times New Roman"/>
            <w:sz w:val="22"/>
            <w:szCs w:val="22"/>
          </w:rPr>
          <m:t>B</m:t>
        </m:r>
      </m:oMath>
      <w:r w:rsidRPr="00ED2FCF">
        <w:rPr>
          <w:rFonts w:ascii="Times New Roman" w:hAnsi="Times New Roman" w:cs="Times New Roman"/>
          <w:sz w:val="22"/>
          <w:szCs w:val="22"/>
        </w:rPr>
        <w:t xml:space="preserve"> is the batch size (512), </w:t>
      </w:r>
      <m:oMath>
        <m:r>
          <w:rPr>
            <w:rFonts w:ascii="Cambria Math" w:hAnsi="Cambria Math" w:cs="Times New Roman"/>
            <w:sz w:val="22"/>
            <w:szCs w:val="22"/>
          </w:rPr>
          <m:t>L</m:t>
        </m:r>
      </m:oMath>
      <w:r w:rsidRPr="00ED2FCF">
        <w:rPr>
          <w:rFonts w:ascii="Times New Roman" w:hAnsi="Times New Roman" w:cs="Times New Roman"/>
          <w:sz w:val="22"/>
          <w:szCs w:val="22"/>
        </w:rPr>
        <w:t xml:space="preserve"> is the lookback window (</w:t>
      </w:r>
      <m:oMath>
        <m:r>
          <w:rPr>
            <w:rFonts w:ascii="Cambria Math" w:hAnsi="Cambria Math" w:cs="Times New Roman"/>
            <w:sz w:val="22"/>
            <w:szCs w:val="22"/>
          </w:rPr>
          <m:t xml:space="preserve">L </m:t>
        </m:r>
        <m:r>
          <m:rPr>
            <m:sty m:val="p"/>
          </m:rPr>
          <w:rPr>
            <w:rFonts w:ascii="Cambria Math" w:hAnsi="Cambria Math" w:cs="Times New Roman"/>
            <w:sz w:val="22"/>
            <w:szCs w:val="22"/>
          </w:rPr>
          <m:t>∈</m:t>
        </m:r>
        <m:r>
          <m:rPr>
            <m:lit/>
          </m:rPr>
          <w:rPr>
            <w:rFonts w:ascii="Cambria Math" w:hAnsi="Cambria Math" w:cs="Times New Roman"/>
            <w:sz w:val="22"/>
            <w:szCs w:val="22"/>
          </w:rPr>
          <m:t>{</m:t>
        </m:r>
        <m:r>
          <w:rPr>
            <w:rFonts w:ascii="Cambria Math" w:hAnsi="Cambria Math" w:cs="Times New Roman"/>
            <w:sz w:val="22"/>
            <w:szCs w:val="22"/>
          </w:rPr>
          <m:t>6, 12, 24</m:t>
        </m:r>
        <m:r>
          <m:rPr>
            <m:lit/>
          </m:rPr>
          <w:rPr>
            <w:rFonts w:ascii="Cambria Math" w:hAnsi="Cambria Math" w:cs="Times New Roman"/>
            <w:sz w:val="22"/>
            <w:szCs w:val="22"/>
          </w:rPr>
          <m:t>}</m:t>
        </m:r>
      </m:oMath>
      <w:r w:rsidRPr="00ED2FCF">
        <w:rPr>
          <w:rFonts w:ascii="Times New Roman" w:hAnsi="Times New Roman" w:cs="Times New Roman"/>
          <w:sz w:val="22"/>
          <w:szCs w:val="22"/>
        </w:rPr>
        <w:t xml:space="preserve">), and </w:t>
      </w:r>
      <m:oMath>
        <m:r>
          <w:rPr>
            <w:rFonts w:ascii="Cambria Math" w:hAnsi="Cambria Math" w:cs="Times New Roman"/>
            <w:sz w:val="22"/>
            <w:szCs w:val="22"/>
          </w:rPr>
          <m:t>F</m:t>
        </m:r>
      </m:oMath>
      <w:r w:rsidRPr="00ED2FCF">
        <w:rPr>
          <w:rFonts w:ascii="Times New Roman" w:hAnsi="Times New Roman" w:cs="Times New Roman"/>
          <w:sz w:val="22"/>
          <w:szCs w:val="22"/>
        </w:rPr>
        <w:t xml:space="preserve"> is the number of features.</w:t>
      </w:r>
    </w:p>
    <w:p w14:paraId="340F57C6" w14:textId="77777777" w:rsidR="00D77D1F" w:rsidRPr="00ED2FCF" w:rsidRDefault="00D77D1F" w:rsidP="00B13D85">
      <w:pPr>
        <w:numPr>
          <w:ilvl w:val="0"/>
          <w:numId w:val="41"/>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Recurrent Layers:</w:t>
      </w:r>
      <w:r w:rsidRPr="00ED2FCF">
        <w:rPr>
          <w:rFonts w:ascii="Times New Roman" w:hAnsi="Times New Roman" w:cs="Times New Roman"/>
          <w:sz w:val="22"/>
          <w:szCs w:val="22"/>
        </w:rPr>
        <w:t xml:space="preserve"> The core architecture consists of </w:t>
      </w:r>
      <w:r w:rsidRPr="00ED2FCF">
        <w:rPr>
          <w:rFonts w:ascii="Times New Roman" w:hAnsi="Times New Roman" w:cs="Times New Roman"/>
          <w:b/>
          <w:bCs/>
          <w:sz w:val="22"/>
          <w:szCs w:val="22"/>
        </w:rPr>
        <w:t>2 stacked LSTM layers</w:t>
      </w:r>
      <w:r w:rsidRPr="00ED2FCF">
        <w:rPr>
          <w:rFonts w:ascii="Times New Roman" w:hAnsi="Times New Roman" w:cs="Times New Roman"/>
          <w:sz w:val="22"/>
          <w:szCs w:val="22"/>
        </w:rPr>
        <w:t xml:space="preserve"> with a hidden state size of </w:t>
      </w:r>
      <w:r w:rsidRPr="00ED2FCF">
        <w:rPr>
          <w:rFonts w:ascii="Times New Roman" w:hAnsi="Times New Roman" w:cs="Times New Roman"/>
          <w:b/>
          <w:bCs/>
          <w:sz w:val="22"/>
          <w:szCs w:val="22"/>
        </w:rPr>
        <w:t>32 units</w:t>
      </w:r>
      <w:r w:rsidRPr="00ED2FCF">
        <w:rPr>
          <w:rFonts w:ascii="Times New Roman" w:hAnsi="Times New Roman" w:cs="Times New Roman"/>
          <w:sz w:val="22"/>
          <w:szCs w:val="22"/>
        </w:rPr>
        <w:t xml:space="preserve">. A </w:t>
      </w:r>
      <w:r w:rsidRPr="00ED2FCF">
        <w:rPr>
          <w:rFonts w:ascii="Times New Roman" w:hAnsi="Times New Roman" w:cs="Times New Roman"/>
          <w:b/>
          <w:bCs/>
          <w:sz w:val="22"/>
          <w:szCs w:val="22"/>
        </w:rPr>
        <w:t>Dropout</w:t>
      </w:r>
      <w:r w:rsidRPr="00ED2FCF">
        <w:rPr>
          <w:rFonts w:ascii="Times New Roman" w:hAnsi="Times New Roman" w:cs="Times New Roman"/>
          <w:sz w:val="22"/>
          <w:szCs w:val="22"/>
        </w:rPr>
        <w:t xml:space="preserve"> rate of 0.1 is applied between layers to prevent overfitting.</w:t>
      </w:r>
    </w:p>
    <w:p w14:paraId="4BA71B39" w14:textId="1A621CBF" w:rsidR="00D77D1F" w:rsidRPr="00ED2FCF" w:rsidRDefault="00D77D1F" w:rsidP="00B13D85">
      <w:pPr>
        <w:numPr>
          <w:ilvl w:val="0"/>
          <w:numId w:val="41"/>
        </w:num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Prediction Head: The final hidden state </w:t>
      </w:r>
      <m:oMath>
        <m:sSub>
          <m:sSubPr>
            <m:ctrlPr>
              <w:rPr>
                <w:rFonts w:ascii="Cambria Math" w:hAnsi="Cambria Math" w:cs="Times New Roman"/>
                <w:i/>
                <w:sz w:val="22"/>
                <w:szCs w:val="22"/>
              </w:rPr>
            </m:ctrlPr>
          </m:sSubPr>
          <m:e>
            <m:r>
              <w:rPr>
                <w:rFonts w:ascii="Cambria Math" w:hAnsi="Cambria Math" w:cs="Times New Roman"/>
                <w:sz w:val="22"/>
                <w:szCs w:val="22"/>
              </w:rPr>
              <m:t>h</m:t>
            </m:r>
          </m:e>
          <m:sub>
            <m:r>
              <w:rPr>
                <w:rFonts w:ascii="Cambria Math" w:hAnsi="Cambria Math" w:cs="Times New Roman"/>
                <w:sz w:val="22"/>
                <w:szCs w:val="22"/>
              </w:rPr>
              <m:t>T</m:t>
            </m:r>
          </m:sub>
        </m:sSub>
      </m:oMath>
      <w:r w:rsidRPr="00ED2FCF">
        <w:rPr>
          <w:rFonts w:ascii="Times New Roman" w:hAnsi="Times New Roman" w:cs="Times New Roman"/>
          <w:sz w:val="22"/>
          <w:szCs w:val="22"/>
        </w:rPr>
        <w:t xml:space="preserve"> is processed by a Multilayer Perceptron (MLP) head:</w:t>
      </w:r>
    </w:p>
    <w:p w14:paraId="64CC40CE" w14:textId="6060D67C" w:rsidR="00D77D1F" w:rsidRPr="00ED2FCF" w:rsidRDefault="00000000" w:rsidP="00B13D85">
      <w:pPr>
        <w:spacing w:afterAutospacing="1"/>
        <w:ind w:left="720"/>
        <w:jc w:val="both"/>
        <w:rPr>
          <w:rFonts w:ascii="Times New Roman" w:hAnsi="Times New Roman" w:cs="Times New Roman"/>
          <w:sz w:val="22"/>
          <w:szCs w:val="22"/>
        </w:rPr>
      </w:pPr>
      <m:oMathPara>
        <m:oMath>
          <m:acc>
            <m:accPr>
              <m:ctrlPr>
                <w:rPr>
                  <w:rFonts w:ascii="Cambria Math" w:hAnsi="Cambria Math" w:cs="Times New Roman"/>
                  <w:sz w:val="22"/>
                  <w:szCs w:val="22"/>
                </w:rPr>
              </m:ctrlPr>
            </m:accPr>
            <m:e>
              <m:r>
                <w:rPr>
                  <w:rFonts w:ascii="Cambria Math" w:hAnsi="Cambria Math" w:cs="Times New Roman"/>
                  <w:sz w:val="22"/>
                  <w:szCs w:val="22"/>
                </w:rPr>
                <m:t>y</m:t>
              </m:r>
            </m:e>
          </m:acc>
          <m:r>
            <w:rPr>
              <w:rFonts w:ascii="Cambria Math" w:hAnsi="Cambria Math" w:cs="Times New Roman"/>
              <w:sz w:val="22"/>
              <w:szCs w:val="22"/>
            </w:rPr>
            <m:t>=</m:t>
          </m:r>
          <m:r>
            <m:rPr>
              <m:nor/>
            </m:rPr>
            <w:rPr>
              <w:rFonts w:ascii="Times New Roman" w:hAnsi="Times New Roman" w:cs="Times New Roman"/>
              <w:sz w:val="22"/>
              <w:szCs w:val="22"/>
            </w:rPr>
            <m:t>Linear</m:t>
          </m:r>
          <m:d>
            <m:dPr>
              <m:ctrlPr>
                <w:rPr>
                  <w:rFonts w:ascii="Cambria Math" w:hAnsi="Cambria Math" w:cs="Times New Roman"/>
                  <w:i/>
                  <w:sz w:val="22"/>
                  <w:szCs w:val="22"/>
                </w:rPr>
              </m:ctrlPr>
            </m:dPr>
            <m:e>
              <m:r>
                <m:rPr>
                  <m:nor/>
                </m:rPr>
                <w:rPr>
                  <w:rFonts w:ascii="Times New Roman" w:hAnsi="Times New Roman" w:cs="Times New Roman"/>
                  <w:sz w:val="22"/>
                  <w:szCs w:val="22"/>
                </w:rPr>
                <m:t>ReLU</m:t>
              </m:r>
              <m:d>
                <m:dPr>
                  <m:ctrlPr>
                    <w:rPr>
                      <w:rFonts w:ascii="Cambria Math" w:hAnsi="Cambria Math" w:cs="Times New Roman"/>
                      <w:i/>
                      <w:sz w:val="22"/>
                      <w:szCs w:val="22"/>
                    </w:rPr>
                  </m:ctrlPr>
                </m:dPr>
                <m:e>
                  <m:r>
                    <m:rPr>
                      <m:nor/>
                    </m:rPr>
                    <w:rPr>
                      <w:rFonts w:ascii="Times New Roman" w:hAnsi="Times New Roman" w:cs="Times New Roman"/>
                      <w:sz w:val="22"/>
                      <w:szCs w:val="22"/>
                    </w:rPr>
                    <m:t>Linear</m:t>
                  </m:r>
                  <m:d>
                    <m:dPr>
                      <m:ctrlPr>
                        <w:rPr>
                          <w:rFonts w:ascii="Cambria Math" w:hAnsi="Cambria Math" w:cs="Times New Roman"/>
                          <w:i/>
                          <w:sz w:val="22"/>
                          <w:szCs w:val="22"/>
                        </w:rPr>
                      </m:ctrlPr>
                    </m:dPr>
                    <m:e>
                      <m:r>
                        <m:rPr>
                          <m:nor/>
                        </m:rPr>
                        <w:rPr>
                          <w:rFonts w:ascii="Times New Roman" w:hAnsi="Times New Roman" w:cs="Times New Roman"/>
                          <w:sz w:val="22"/>
                          <w:szCs w:val="22"/>
                        </w:rPr>
                        <m:t>LayerNorm</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h</m:t>
                              </m:r>
                            </m:e>
                            <m:sub>
                              <m:r>
                                <w:rPr>
                                  <w:rFonts w:ascii="Cambria Math" w:hAnsi="Cambria Math" w:cs="Times New Roman"/>
                                  <w:sz w:val="22"/>
                                  <w:szCs w:val="22"/>
                                </w:rPr>
                                <m:t>T</m:t>
                              </m:r>
                            </m:sub>
                          </m:sSub>
                        </m:e>
                      </m:d>
                    </m:e>
                  </m:d>
                </m:e>
              </m:d>
            </m:e>
          </m:d>
        </m:oMath>
      </m:oMathPara>
    </w:p>
    <w:p w14:paraId="0ADF1CA5" w14:textId="77777777" w:rsidR="00D77D1F" w:rsidRPr="00ED2FCF" w:rsidRDefault="00D77D1F" w:rsidP="00B13D85">
      <w:pPr>
        <w:spacing w:after="100" w:afterAutospacing="1"/>
        <w:ind w:left="720"/>
        <w:jc w:val="both"/>
        <w:rPr>
          <w:rFonts w:ascii="Times New Roman" w:hAnsi="Times New Roman" w:cs="Times New Roman"/>
          <w:sz w:val="22"/>
          <w:szCs w:val="22"/>
        </w:rPr>
      </w:pPr>
      <w:r w:rsidRPr="00ED2FCF">
        <w:rPr>
          <w:rFonts w:ascii="Times New Roman" w:hAnsi="Times New Roman" w:cs="Times New Roman"/>
          <w:sz w:val="22"/>
          <w:szCs w:val="22"/>
        </w:rPr>
        <w:t>Layer Normalization is strictly applied before the dense layers to stabilize gradient flow and accelerate convergence.</w:t>
      </w:r>
    </w:p>
    <w:p w14:paraId="2C5A9872" w14:textId="77777777"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Training Protocol</w:t>
      </w:r>
    </w:p>
    <w:p w14:paraId="2A97113A" w14:textId="4A89E866"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We utilize SmoothL1Loss (Huber Loss) with </w:t>
      </w:r>
      <m:oMath>
        <m:r>
          <m:rPr>
            <m:sty m:val="p"/>
          </m:rPr>
          <w:rPr>
            <w:rFonts w:ascii="Cambria Math" w:hAnsi="Cambria Math" w:cs="Times New Roman"/>
            <w:sz w:val="22"/>
            <w:szCs w:val="22"/>
          </w:rPr>
          <m:t>β</m:t>
        </m:r>
        <m:r>
          <w:rPr>
            <w:rFonts w:ascii="Cambria Math" w:hAnsi="Cambria Math" w:cs="Times New Roman"/>
            <w:sz w:val="22"/>
            <w:szCs w:val="22"/>
          </w:rPr>
          <m:t>=0.01</m:t>
        </m:r>
      </m:oMath>
      <w:r w:rsidRPr="00ED2FCF">
        <w:rPr>
          <w:rFonts w:ascii="Times New Roman" w:hAnsi="Times New Roman" w:cs="Times New Roman"/>
          <w:sz w:val="22"/>
          <w:szCs w:val="22"/>
        </w:rPr>
        <w:t>. Unlike Mean Squared Error (MSE), Huber loss behaves linearly for large errors (outliers) and quadratically for small errors, making it robust to the "fat-tailed" noise characteristic of financial returns:</w:t>
      </w:r>
    </w:p>
    <w:p w14:paraId="007CA050" w14:textId="259FB3D9" w:rsidR="00D77D1F" w:rsidRPr="00ED2FCF" w:rsidRDefault="00780E82" w:rsidP="00B13D85">
      <w:pPr>
        <w:spacing w:afterAutospacing="1"/>
        <w:ind w:left="720"/>
        <w:jc w:val="both"/>
        <w:rPr>
          <w:rFonts w:ascii="Times New Roman" w:hAnsi="Times New Roman" w:cs="Times New Roman"/>
          <w:i/>
          <w:sz w:val="22"/>
          <w:szCs w:val="22"/>
        </w:rPr>
      </w:pPr>
      <m:oMathPara>
        <m:oMath>
          <m:r>
            <w:rPr>
              <w:rFonts w:ascii="Cambria Math" w:hAnsi="Cambria Math" w:cs="Times New Roman"/>
              <w:sz w:val="22"/>
              <w:szCs w:val="22"/>
            </w:rPr>
            <m:t>L</m:t>
          </m:r>
          <m:d>
            <m:dPr>
              <m:ctrlPr>
                <w:rPr>
                  <w:rFonts w:ascii="Cambria Math" w:hAnsi="Cambria Math" w:cs="Times New Roman"/>
                  <w:i/>
                  <w:sz w:val="22"/>
                  <w:szCs w:val="22"/>
                </w:rPr>
              </m:ctrlPr>
            </m:dPr>
            <m:e>
              <m:r>
                <w:rPr>
                  <w:rFonts w:ascii="Cambria Math" w:hAnsi="Cambria Math" w:cs="Times New Roman"/>
                  <w:sz w:val="22"/>
                  <w:szCs w:val="22"/>
                </w:rPr>
                <m:t>y,</m:t>
              </m:r>
              <m:acc>
                <m:accPr>
                  <m:ctrlPr>
                    <w:rPr>
                      <w:rFonts w:ascii="Cambria Math" w:hAnsi="Cambria Math" w:cs="Times New Roman"/>
                      <w:sz w:val="22"/>
                      <w:szCs w:val="22"/>
                    </w:rPr>
                  </m:ctrlPr>
                </m:accPr>
                <m:e>
                  <m:r>
                    <w:rPr>
                      <w:rFonts w:ascii="Cambria Math" w:hAnsi="Cambria Math" w:cs="Times New Roman"/>
                      <w:sz w:val="22"/>
                      <w:szCs w:val="22"/>
                    </w:rPr>
                    <m:t>y</m:t>
                  </m:r>
                </m:e>
              </m:acc>
            </m:e>
          </m:d>
          <m:r>
            <w:rPr>
              <w:rFonts w:ascii="Cambria Math" w:hAnsi="Cambria Math" w:cs="Times New Roman"/>
              <w:sz w:val="22"/>
              <w:szCs w:val="22"/>
            </w:rPr>
            <m:t>=</m:t>
          </m:r>
          <m:d>
            <m:dPr>
              <m:begChr m:val="{"/>
              <m:endChr m:val=""/>
              <m:ctrlPr>
                <w:rPr>
                  <w:rFonts w:ascii="Cambria Math" w:hAnsi="Cambria Math" w:cs="Times New Roman"/>
                  <w:i/>
                  <w:sz w:val="22"/>
                  <w:szCs w:val="22"/>
                </w:rPr>
              </m:ctrlPr>
            </m:dPr>
            <m:e>
              <m:eqArr>
                <m:eqArrPr>
                  <m:ctrlPr>
                    <w:rPr>
                      <w:rFonts w:ascii="Cambria Math" w:hAnsi="Cambria Math" w:cs="Times New Roman"/>
                      <w:i/>
                      <w:sz w:val="22"/>
                      <w:szCs w:val="22"/>
                    </w:rPr>
                  </m:ctrlPr>
                </m:eqArrPr>
                <m:e>
                  <m:r>
                    <w:rPr>
                      <w:rFonts w:ascii="Cambria Math" w:hAnsi="Cambria Math" w:cs="Times New Roman"/>
                      <w:sz w:val="22"/>
                      <w:szCs w:val="22"/>
                    </w:rPr>
                    <m:t>0.5</m:t>
                  </m:r>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w:rPr>
                              <w:rFonts w:ascii="Cambria Math" w:hAnsi="Cambria Math" w:cs="Times New Roman"/>
                              <w:sz w:val="22"/>
                              <w:szCs w:val="22"/>
                            </w:rPr>
                            <m:t>y-</m:t>
                          </m:r>
                          <m:acc>
                            <m:accPr>
                              <m:ctrlPr>
                                <w:rPr>
                                  <w:rFonts w:ascii="Cambria Math" w:hAnsi="Cambria Math" w:cs="Times New Roman"/>
                                  <w:sz w:val="22"/>
                                  <w:szCs w:val="22"/>
                                </w:rPr>
                              </m:ctrlPr>
                            </m:accPr>
                            <m:e>
                              <m:r>
                                <w:rPr>
                                  <w:rFonts w:ascii="Cambria Math" w:hAnsi="Cambria Math" w:cs="Times New Roman"/>
                                  <w:sz w:val="22"/>
                                  <w:szCs w:val="22"/>
                                </w:rPr>
                                <m:t>y</m:t>
                              </m:r>
                            </m:e>
                          </m:acc>
                        </m:e>
                      </m:d>
                    </m:e>
                    <m:sup>
                      <m:r>
                        <w:rPr>
                          <w:rFonts w:ascii="Cambria Math" w:hAnsi="Cambria Math" w:cs="Times New Roman"/>
                          <w:sz w:val="22"/>
                          <w:szCs w:val="22"/>
                        </w:rPr>
                        <m:t>2</m:t>
                      </m:r>
                    </m:sup>
                  </m:sSup>
                  <m:r>
                    <w:rPr>
                      <w:rFonts w:ascii="Cambria Math" w:hAnsi="Cambria Math" w:cs="Times New Roman"/>
                      <w:sz w:val="22"/>
                      <w:szCs w:val="22"/>
                    </w:rPr>
                    <m:t>,</m:t>
                  </m:r>
                  <m:d>
                    <m:dPr>
                      <m:begChr m:val="|"/>
                      <m:endChr m:val="|"/>
                      <m:ctrlPr>
                        <w:rPr>
                          <w:rFonts w:ascii="Cambria Math" w:hAnsi="Cambria Math" w:cs="Times New Roman"/>
                          <w:i/>
                          <w:sz w:val="22"/>
                          <w:szCs w:val="22"/>
                        </w:rPr>
                      </m:ctrlPr>
                    </m:dPr>
                    <m:e>
                      <m:r>
                        <w:rPr>
                          <w:rFonts w:ascii="Cambria Math" w:hAnsi="Cambria Math" w:cs="Times New Roman"/>
                          <w:sz w:val="22"/>
                          <w:szCs w:val="22"/>
                        </w:rPr>
                        <m:t>y-</m:t>
                      </m:r>
                      <m:acc>
                        <m:accPr>
                          <m:ctrlPr>
                            <w:rPr>
                              <w:rFonts w:ascii="Cambria Math" w:hAnsi="Cambria Math" w:cs="Times New Roman"/>
                              <w:sz w:val="22"/>
                              <w:szCs w:val="22"/>
                            </w:rPr>
                          </m:ctrlPr>
                        </m:accPr>
                        <m:e>
                          <m:r>
                            <w:rPr>
                              <w:rFonts w:ascii="Cambria Math" w:hAnsi="Cambria Math" w:cs="Times New Roman"/>
                              <w:sz w:val="22"/>
                              <w:szCs w:val="22"/>
                            </w:rPr>
                            <m:t>y</m:t>
                          </m:r>
                        </m:e>
                      </m:acc>
                    </m:e>
                  </m:d>
                  <m:r>
                    <w:rPr>
                      <w:rFonts w:ascii="Cambria Math" w:hAnsi="Cambria Math" w:cs="Times New Roman"/>
                      <w:sz w:val="22"/>
                      <w:szCs w:val="22"/>
                    </w:rPr>
                    <m:t>&lt;1</m:t>
                  </m:r>
                </m:e>
                <m:e>
                  <m:d>
                    <m:dPr>
                      <m:begChr m:val="|"/>
                      <m:endChr m:val="|"/>
                      <m:ctrlPr>
                        <w:rPr>
                          <w:rFonts w:ascii="Cambria Math" w:hAnsi="Cambria Math" w:cs="Times New Roman"/>
                          <w:i/>
                          <w:sz w:val="22"/>
                          <w:szCs w:val="22"/>
                        </w:rPr>
                      </m:ctrlPr>
                    </m:dPr>
                    <m:e>
                      <m:r>
                        <w:rPr>
                          <w:rFonts w:ascii="Cambria Math" w:hAnsi="Cambria Math" w:cs="Times New Roman"/>
                          <w:sz w:val="22"/>
                          <w:szCs w:val="22"/>
                        </w:rPr>
                        <m:t>y-</m:t>
                      </m:r>
                      <m:acc>
                        <m:accPr>
                          <m:ctrlPr>
                            <w:rPr>
                              <w:rFonts w:ascii="Cambria Math" w:hAnsi="Cambria Math" w:cs="Times New Roman"/>
                              <w:sz w:val="22"/>
                              <w:szCs w:val="22"/>
                            </w:rPr>
                          </m:ctrlPr>
                        </m:accPr>
                        <m:e>
                          <m:r>
                            <w:rPr>
                              <w:rFonts w:ascii="Cambria Math" w:hAnsi="Cambria Math" w:cs="Times New Roman"/>
                              <w:sz w:val="22"/>
                              <w:szCs w:val="22"/>
                            </w:rPr>
                            <m:t>y</m:t>
                          </m:r>
                        </m:e>
                      </m:acc>
                    </m:e>
                  </m:d>
                  <m:r>
                    <w:rPr>
                      <w:rFonts w:ascii="Cambria Math" w:hAnsi="Cambria Math" w:cs="Times New Roman"/>
                      <w:sz w:val="22"/>
                      <w:szCs w:val="22"/>
                    </w:rPr>
                    <m:t>-0.5,otherwise</m:t>
                  </m:r>
                </m:e>
              </m:eqArr>
            </m:e>
          </m:d>
        </m:oMath>
      </m:oMathPara>
    </w:p>
    <w:p w14:paraId="5EBAAC42" w14:textId="37B7139F" w:rsidR="00D77D1F" w:rsidRPr="00ED2FCF" w:rsidRDefault="00D77D1F" w:rsidP="005B57D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The model parameters are updated using </w:t>
      </w:r>
      <w:proofErr w:type="spellStart"/>
      <w:r w:rsidRPr="00ED2FCF">
        <w:rPr>
          <w:rFonts w:ascii="Times New Roman" w:hAnsi="Times New Roman" w:cs="Times New Roman"/>
          <w:b/>
          <w:bCs/>
          <w:sz w:val="22"/>
          <w:szCs w:val="22"/>
        </w:rPr>
        <w:t>AdamW</w:t>
      </w:r>
      <w:proofErr w:type="spellEnd"/>
      <w:r w:rsidRPr="00ED2FCF">
        <w:rPr>
          <w:rFonts w:ascii="Times New Roman" w:hAnsi="Times New Roman" w:cs="Times New Roman"/>
          <w:sz w:val="22"/>
          <w:szCs w:val="22"/>
        </w:rPr>
        <w:t xml:space="preserve"> (Adam with Weight Decay) with a learning rate of </w:t>
      </w:r>
      <m:oMath>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-3</m:t>
            </m:r>
          </m:sup>
        </m:sSup>
      </m:oMath>
      <w:r w:rsidRPr="00ED2FCF">
        <w:rPr>
          <w:rFonts w:ascii="Times New Roman" w:hAnsi="Times New Roman" w:cs="Times New Roman"/>
          <w:sz w:val="22"/>
          <w:szCs w:val="22"/>
        </w:rPr>
        <w:t xml:space="preserve"> and weight decay of </w:t>
      </w:r>
      <m:oMath>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-4</m:t>
            </m:r>
          </m:sup>
        </m:sSup>
      </m:oMath>
      <w:r w:rsidRPr="00ED2FCF">
        <w:rPr>
          <w:rFonts w:ascii="Times New Roman" w:hAnsi="Times New Roman" w:cs="Times New Roman"/>
          <w:sz w:val="22"/>
          <w:szCs w:val="22"/>
        </w:rPr>
        <w:t>.</w:t>
      </w:r>
    </w:p>
    <w:p w14:paraId="3A6F36BF" w14:textId="1D098D4A" w:rsidR="00D77D1F" w:rsidRPr="00ED2FCF" w:rsidRDefault="00D77D1F"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lastRenderedPageBreak/>
        <w:t>Linear Benchmark</w:t>
      </w:r>
    </w:p>
    <w:p w14:paraId="5793FDE6" w14:textId="501A12FC"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To quantify the value added by non-linear sequential modeling, we benchmark the LSTM against a linear </w:t>
      </w:r>
      <w:r w:rsidRPr="00ED2FCF">
        <w:rPr>
          <w:rFonts w:ascii="Times New Roman" w:hAnsi="Times New Roman" w:cs="Times New Roman"/>
          <w:b/>
          <w:bCs/>
          <w:sz w:val="22"/>
          <w:szCs w:val="22"/>
        </w:rPr>
        <w:t>Ridge Regression</w:t>
      </w:r>
      <w:r w:rsidRPr="00ED2FCF">
        <w:rPr>
          <w:rFonts w:ascii="Times New Roman" w:hAnsi="Times New Roman" w:cs="Times New Roman"/>
          <w:sz w:val="22"/>
          <w:szCs w:val="22"/>
        </w:rPr>
        <w:t xml:space="preserve">. To ensure a fair comparison, the input sequences </w:t>
      </w:r>
      <m:oMath>
        <m:d>
          <m:dPr>
            <m:ctrlPr>
              <w:rPr>
                <w:rFonts w:ascii="Cambria Math" w:hAnsi="Cambria Math" w:cs="Times New Roman"/>
                <w:i/>
                <w:sz w:val="22"/>
                <w:szCs w:val="22"/>
              </w:rPr>
            </m:ctrlPr>
          </m:dPr>
          <m:e>
            <m:r>
              <w:rPr>
                <w:rFonts w:ascii="Cambria Math" w:hAnsi="Cambria Math" w:cs="Times New Roman"/>
                <w:sz w:val="22"/>
                <w:szCs w:val="22"/>
              </w:rPr>
              <m:t>L</m:t>
            </m:r>
            <m:r>
              <m:rPr>
                <m:sty m:val="p"/>
              </m:rPr>
              <w:rPr>
                <w:rFonts w:ascii="Cambria Math" w:hAnsi="Cambria Math" w:cs="Times New Roman"/>
                <w:sz w:val="22"/>
                <w:szCs w:val="22"/>
              </w:rPr>
              <m:t>×</m:t>
            </m:r>
            <m:r>
              <w:rPr>
                <w:rFonts w:ascii="Cambria Math" w:hAnsi="Cambria Math" w:cs="Times New Roman"/>
                <w:sz w:val="22"/>
                <w:szCs w:val="22"/>
              </w:rPr>
              <m:t>F</m:t>
            </m:r>
          </m:e>
        </m:d>
      </m:oMath>
      <w:r w:rsidRPr="00ED2FCF">
        <w:rPr>
          <w:rFonts w:ascii="Times New Roman" w:hAnsi="Times New Roman" w:cs="Times New Roman"/>
          <w:sz w:val="22"/>
          <w:szCs w:val="22"/>
        </w:rPr>
        <w:t xml:space="preserve"> are flattened into a single static vector of size </w:t>
      </w:r>
      <m:oMath>
        <m:r>
          <w:rPr>
            <w:rFonts w:ascii="Cambria Math" w:hAnsi="Cambria Math" w:cs="Times New Roman"/>
            <w:sz w:val="22"/>
            <w:szCs w:val="22"/>
          </w:rPr>
          <m:t>L</m:t>
        </m:r>
        <m:r>
          <m:rPr>
            <m:sty m:val="p"/>
          </m:rPr>
          <w:rPr>
            <w:rFonts w:ascii="Cambria Math" w:hAnsi="Cambria Math" w:cs="Times New Roman"/>
            <w:sz w:val="22"/>
            <w:szCs w:val="22"/>
          </w:rPr>
          <m:t>⋅</m:t>
        </m:r>
        <m:r>
          <w:rPr>
            <w:rFonts w:ascii="Cambria Math" w:hAnsi="Cambria Math" w:cs="Times New Roman"/>
            <w:sz w:val="22"/>
            <w:szCs w:val="22"/>
          </w:rPr>
          <m:t>F</m:t>
        </m:r>
      </m:oMath>
      <w:r w:rsidRPr="00ED2FCF">
        <w:rPr>
          <w:rFonts w:ascii="Times New Roman" w:hAnsi="Times New Roman" w:cs="Times New Roman"/>
          <w:sz w:val="22"/>
          <w:szCs w:val="22"/>
        </w:rPr>
        <w:t>, granting the linear model access to the exact same historical information set.</w:t>
      </w:r>
    </w:p>
    <w:p w14:paraId="63804974" w14:textId="56E540B2" w:rsidR="00D77D1F" w:rsidRPr="00ED2FCF" w:rsidRDefault="00D77D1F"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Strategy Implementation and Evaluation</w:t>
      </w:r>
    </w:p>
    <w:p w14:paraId="4B8ECC5E" w14:textId="77777777"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Portfolio Construction</w:t>
      </w:r>
    </w:p>
    <w:p w14:paraId="40431B33" w14:textId="0D011445"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At the end of each month </w:t>
      </w:r>
      <m:oMath>
        <m:r>
          <w:rPr>
            <w:rFonts w:ascii="Cambria Math" w:hAnsi="Cambria Math" w:cs="Times New Roman"/>
            <w:sz w:val="22"/>
            <w:szCs w:val="22"/>
          </w:rPr>
          <m:t>t</m:t>
        </m:r>
      </m:oMath>
      <w:r w:rsidRPr="00ED2FCF">
        <w:rPr>
          <w:rFonts w:ascii="Times New Roman" w:hAnsi="Times New Roman" w:cs="Times New Roman"/>
          <w:sz w:val="22"/>
          <w:szCs w:val="22"/>
        </w:rPr>
        <w:t xml:space="preserve">, stocks are ranked based on their predicted next-month excess return </w:t>
      </w:r>
      <m:oMath>
        <m:acc>
          <m:accPr>
            <m:ctrlPr>
              <w:rPr>
                <w:rFonts w:ascii="Cambria Math" w:hAnsi="Cambria Math" w:cs="Times New Roman"/>
                <w:sz w:val="22"/>
                <w:szCs w:val="22"/>
              </w:rPr>
            </m:ctrlPr>
          </m:accPr>
          <m:e>
            <m:sSub>
              <m:sSubPr>
                <m:ctrlPr>
                  <w:rPr>
                    <w:rFonts w:ascii="Cambria Math" w:hAnsi="Cambria Math" w:cs="Times New Roman"/>
                    <w:i/>
                    <w:sz w:val="22"/>
                    <w:szCs w:val="22"/>
                  </w:rPr>
                </m:ctrlPr>
              </m:sSubPr>
              <m:e>
                <m:r>
                  <w:rPr>
                    <w:rFonts w:ascii="Cambria Math" w:hAnsi="Cambria Math" w:cs="Times New Roman"/>
                    <w:sz w:val="22"/>
                    <w:szCs w:val="22"/>
                  </w:rPr>
                  <m:t>r</m:t>
                </m:r>
                <m:ctrlPr>
                  <w:rPr>
                    <w:rFonts w:ascii="Cambria Math" w:hAnsi="Cambria Math" w:cs="Times New Roman"/>
                    <w:sz w:val="22"/>
                    <w:szCs w:val="22"/>
                  </w:rPr>
                </m:ctrlPr>
              </m:e>
              <m:sub>
                <m:r>
                  <w:rPr>
                    <w:rFonts w:ascii="Cambria Math" w:hAnsi="Cambria Math" w:cs="Times New Roman"/>
                    <w:sz w:val="22"/>
                    <w:szCs w:val="22"/>
                  </w:rPr>
                  <m:t>t+1</m:t>
                </m:r>
              </m:sub>
            </m:sSub>
          </m:e>
        </m:acc>
      </m:oMath>
      <w:r w:rsidRPr="00ED2FCF">
        <w:rPr>
          <w:rFonts w:ascii="Times New Roman" w:hAnsi="Times New Roman" w:cs="Times New Roman"/>
          <w:sz w:val="22"/>
          <w:szCs w:val="22"/>
        </w:rPr>
        <w:t xml:space="preserve">. We construct a </w:t>
      </w:r>
      <w:r w:rsidR="00B46FBC" w:rsidRPr="00ED2FCF">
        <w:rPr>
          <w:rFonts w:ascii="Times New Roman" w:hAnsi="Times New Roman" w:cs="Times New Roman"/>
          <w:sz w:val="22"/>
          <w:szCs w:val="22"/>
        </w:rPr>
        <w:t>Top 100</w:t>
      </w:r>
      <w:r w:rsidRPr="00ED2FCF">
        <w:rPr>
          <w:rFonts w:ascii="Times New Roman" w:hAnsi="Times New Roman" w:cs="Times New Roman"/>
          <w:sz w:val="22"/>
          <w:szCs w:val="22"/>
        </w:rPr>
        <w:t xml:space="preserve"> Long-Only portfolio. Positions are Market-Cap Weighted to simulate a capacity-constrained institutional strategy and minimize exposure to high-volatility micro-cap stocks.</w:t>
      </w:r>
    </w:p>
    <w:p w14:paraId="69774054" w14:textId="77777777"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Transaction Cost Modeling</w:t>
      </w:r>
    </w:p>
    <w:p w14:paraId="1EEBB753" w14:textId="77777777"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A rigorous transaction cost model is implemented to estimate Net Asset Value (NAV). Costs are dynamically approximated using the Corwin-Schultz Spread:</w:t>
      </w:r>
    </w:p>
    <w:p w14:paraId="53E4B8B4" w14:textId="7E12EBC2" w:rsidR="00D77D1F" w:rsidRPr="00ED2FCF" w:rsidRDefault="00000000" w:rsidP="00B13D85">
      <w:pPr>
        <w:jc w:val="both"/>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net,i,t</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gross,i,t</m:t>
              </m:r>
            </m:sub>
          </m:sSub>
          <m:r>
            <w:rPr>
              <w:rFonts w:ascii="Cambria Math" w:hAnsi="Cambria Math" w:cs="Times New Roman"/>
              <w:sz w:val="22"/>
              <w:szCs w:val="22"/>
            </w:rPr>
            <m:t>-</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sz w:val="22"/>
                      <w:szCs w:val="22"/>
                    </w:rPr>
                    <m:t>Spread</m:t>
                  </m:r>
                </m:e>
                <m:sub>
                  <m:r>
                    <w:rPr>
                      <w:rFonts w:ascii="Cambria Math" w:hAnsi="Cambria Math" w:cs="Times New Roman"/>
                      <w:sz w:val="22"/>
                      <w:szCs w:val="22"/>
                    </w:rPr>
                    <m:t>CS,i,t</m:t>
                  </m:r>
                </m:sub>
              </m:sSub>
              <m:r>
                <m:rPr>
                  <m:sty m:val="p"/>
                </m:rPr>
                <w:rPr>
                  <w:rFonts w:ascii="Cambria Math" w:hAnsi="Cambria Math" w:cs="Times New Roman"/>
                  <w:sz w:val="22"/>
                  <w:szCs w:val="22"/>
                </w:rPr>
                <m:t>×</m:t>
              </m:r>
              <m:r>
                <w:rPr>
                  <w:rFonts w:ascii="Cambria Math" w:hAnsi="Cambria Math" w:cs="Times New Roman"/>
                  <w:sz w:val="22"/>
                  <w:szCs w:val="22"/>
                </w:rPr>
                <m:t>0.5</m:t>
              </m:r>
            </m:e>
          </m:d>
        </m:oMath>
      </m:oMathPara>
    </w:p>
    <w:p w14:paraId="088EAB29" w14:textId="1CAB1E7C" w:rsidR="00D77D1F" w:rsidRPr="00ED2FCF" w:rsidRDefault="00780E82"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W</w:t>
      </w:r>
      <w:r w:rsidR="00D77D1F" w:rsidRPr="00ED2FCF">
        <w:rPr>
          <w:rFonts w:ascii="Times New Roman" w:hAnsi="Times New Roman" w:cs="Times New Roman"/>
          <w:sz w:val="22"/>
          <w:szCs w:val="22"/>
        </w:rPr>
        <w:t>here</w:t>
      </w:r>
      <w:r w:rsidRPr="00ED2FCF">
        <w:rPr>
          <w:rFonts w:ascii="Times New Roman" w:hAnsi="Times New Roman" w:cs="Times New Roman"/>
          <w:sz w:val="22"/>
          <w:szCs w:val="22"/>
        </w:rPr>
        <w:t xml:space="preserve"> </w:t>
      </w:r>
      <m:oMath>
        <m:r>
          <w:rPr>
            <w:rFonts w:ascii="Cambria Math" w:hAnsi="Cambria Math" w:cs="Times New Roman"/>
            <w:sz w:val="22"/>
            <w:szCs w:val="22"/>
          </w:rPr>
          <m:t>0.5</m:t>
        </m:r>
      </m:oMath>
      <w:r w:rsidRPr="00ED2FCF">
        <w:rPr>
          <w:rFonts w:ascii="Times New Roman" w:hAnsi="Times New Roman" w:cs="Times New Roman"/>
          <w:sz w:val="22"/>
          <w:szCs w:val="22"/>
        </w:rPr>
        <w:t xml:space="preserve"> </w:t>
      </w:r>
      <w:r w:rsidR="00D77D1F" w:rsidRPr="00ED2FCF">
        <w:rPr>
          <w:rFonts w:ascii="Times New Roman" w:hAnsi="Times New Roman" w:cs="Times New Roman"/>
          <w:sz w:val="22"/>
          <w:szCs w:val="22"/>
        </w:rPr>
        <w:t>represents a "half-spread" penalty applied to portfolio turnover. This effectively penalizes the model for selecting illiquid stocks, a common source of inflated performance in machine learning backtests.</w:t>
      </w:r>
    </w:p>
    <w:p w14:paraId="6448E83C" w14:textId="77777777" w:rsidR="00D77D1F" w:rsidRPr="00ED2FCF" w:rsidRDefault="00D77D1F"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Performance Metrics</w:t>
      </w:r>
    </w:p>
    <w:p w14:paraId="23E38BB9" w14:textId="1A46B4A5" w:rsidR="00D77D1F" w:rsidRPr="00ED2FCF" w:rsidRDefault="00D77D1F"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Models are evaluated on:</w:t>
      </w:r>
      <w:r w:rsidR="00780E82" w:rsidRPr="00ED2FCF">
        <w:rPr>
          <w:rFonts w:ascii="Times New Roman" w:hAnsi="Times New Roman" w:cs="Times New Roman"/>
          <w:sz w:val="22"/>
          <w:szCs w:val="22"/>
        </w:rPr>
        <w:t xml:space="preserve"> A) </w:t>
      </w:r>
      <w:r w:rsidRPr="00ED2FCF">
        <w:rPr>
          <w:rFonts w:ascii="Times New Roman" w:hAnsi="Times New Roman" w:cs="Times New Roman"/>
          <w:b/>
          <w:bCs/>
          <w:sz w:val="22"/>
          <w:szCs w:val="22"/>
        </w:rPr>
        <w:t>Predictive Accuracy:</w:t>
      </w:r>
      <w:r w:rsidRPr="00ED2FCF">
        <w:rPr>
          <w:rFonts w:ascii="Times New Roman" w:hAnsi="Times New Roman" w:cs="Times New Roman"/>
          <w:sz w:val="22"/>
          <w:szCs w:val="22"/>
        </w:rPr>
        <w:t xml:space="preserve"> Mean Squared Error (MSE) and Information Coefficient (IC/Hit Rate).</w:t>
      </w:r>
      <w:r w:rsidR="00780E82" w:rsidRPr="00ED2FCF">
        <w:rPr>
          <w:rFonts w:ascii="Times New Roman" w:hAnsi="Times New Roman" w:cs="Times New Roman"/>
          <w:sz w:val="22"/>
          <w:szCs w:val="22"/>
        </w:rPr>
        <w:t xml:space="preserve"> B) </w:t>
      </w:r>
      <w:r w:rsidRPr="00ED2FCF">
        <w:rPr>
          <w:rFonts w:ascii="Times New Roman" w:hAnsi="Times New Roman" w:cs="Times New Roman"/>
          <w:b/>
          <w:bCs/>
          <w:sz w:val="22"/>
          <w:szCs w:val="22"/>
        </w:rPr>
        <w:t>Economic Performance:</w:t>
      </w:r>
      <w:r w:rsidRPr="00ED2FCF">
        <w:rPr>
          <w:rFonts w:ascii="Times New Roman" w:hAnsi="Times New Roman" w:cs="Times New Roman"/>
          <w:sz w:val="22"/>
          <w:szCs w:val="22"/>
        </w:rPr>
        <w:t xml:space="preserve"> Annualized Sharpe Ratio, Sortino Ratio, and Maximum Drawdown.</w:t>
      </w:r>
      <w:r w:rsidR="00780E82" w:rsidRPr="00ED2FCF">
        <w:rPr>
          <w:rFonts w:ascii="Times New Roman" w:hAnsi="Times New Roman" w:cs="Times New Roman"/>
          <w:sz w:val="22"/>
          <w:szCs w:val="22"/>
        </w:rPr>
        <w:t xml:space="preserve"> C) </w:t>
      </w:r>
      <w:r w:rsidRPr="00ED2FCF">
        <w:rPr>
          <w:rFonts w:ascii="Times New Roman" w:hAnsi="Times New Roman" w:cs="Times New Roman"/>
          <w:b/>
          <w:bCs/>
          <w:sz w:val="22"/>
          <w:szCs w:val="22"/>
        </w:rPr>
        <w:t>Regime Robustness:</w:t>
      </w:r>
      <w:r w:rsidRPr="00ED2FCF">
        <w:rPr>
          <w:rFonts w:ascii="Times New Roman" w:hAnsi="Times New Roman" w:cs="Times New Roman"/>
          <w:sz w:val="22"/>
          <w:szCs w:val="22"/>
        </w:rPr>
        <w:t xml:space="preserve"> Strategy returns are conditioned on four macro-regimes defined by VIX levels (High/Low) and Interest Rate trends (Rising/Falling).</w:t>
      </w:r>
    </w:p>
    <w:p w14:paraId="28791974" w14:textId="3A2733B4" w:rsidR="00907DFB" w:rsidRPr="00ED2FCF" w:rsidRDefault="00907DFB" w:rsidP="00B13D85">
      <w:pPr>
        <w:pStyle w:val="a9"/>
        <w:numPr>
          <w:ilvl w:val="0"/>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Empirical Results Analysis</w:t>
      </w:r>
    </w:p>
    <w:p w14:paraId="48D24A89" w14:textId="07742A4C" w:rsidR="00907DFB" w:rsidRPr="00ED2FCF" w:rsidRDefault="00536970"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This section provides a detailed comparison of the LSTM model's performance versus the Linear Ridge Regression benchmark across different lookback windows</w:t>
      </w:r>
      <w:r w:rsidR="00907DFB" w:rsidRPr="00ED2FCF">
        <w:rPr>
          <w:rFonts w:ascii="Times New Roman" w:hAnsi="Times New Roman" w:cs="Times New Roman"/>
          <w:sz w:val="22"/>
          <w:szCs w:val="22"/>
        </w:rPr>
        <w:t xml:space="preserve"> (</w:t>
      </w:r>
      <m:oMath>
        <m:r>
          <w:rPr>
            <w:rFonts w:ascii="Cambria Math" w:hAnsi="Cambria Math" w:cs="Times New Roman"/>
            <w:sz w:val="22"/>
            <w:szCs w:val="22"/>
          </w:rPr>
          <m:t xml:space="preserve">L </m:t>
        </m:r>
        <m:r>
          <m:rPr>
            <m:sty m:val="p"/>
          </m:rPr>
          <w:rPr>
            <w:rFonts w:ascii="Cambria Math" w:hAnsi="Cambria Math" w:cs="Times New Roman"/>
            <w:sz w:val="22"/>
            <w:szCs w:val="22"/>
          </w:rPr>
          <m:t>∈</m:t>
        </m:r>
        <m:r>
          <m:rPr>
            <m:lit/>
          </m:rPr>
          <w:rPr>
            <w:rFonts w:ascii="Cambria Math" w:hAnsi="Cambria Math" w:cs="Times New Roman"/>
            <w:sz w:val="22"/>
            <w:szCs w:val="22"/>
          </w:rPr>
          <m:t>{</m:t>
        </m:r>
        <m:r>
          <w:rPr>
            <w:rFonts w:ascii="Cambria Math" w:hAnsi="Cambria Math" w:cs="Times New Roman"/>
            <w:sz w:val="22"/>
            <w:szCs w:val="22"/>
          </w:rPr>
          <m:t>6, 12, 24</m:t>
        </m:r>
        <m:r>
          <m:rPr>
            <m:lit/>
          </m:rPr>
          <w:rPr>
            <w:rFonts w:ascii="Cambria Math" w:hAnsi="Cambria Math" w:cs="Times New Roman"/>
            <w:sz w:val="22"/>
            <w:szCs w:val="22"/>
          </w:rPr>
          <m:t>}</m:t>
        </m:r>
      </m:oMath>
      <w:r w:rsidR="00907DFB" w:rsidRPr="00ED2FCF">
        <w:rPr>
          <w:rFonts w:ascii="Times New Roman" w:hAnsi="Times New Roman" w:cs="Times New Roman"/>
          <w:sz w:val="22"/>
          <w:szCs w:val="22"/>
        </w:rPr>
        <w:t xml:space="preserve">) and two distinct portfolio construction methodologies: </w:t>
      </w:r>
      <w:r w:rsidR="00907DFB" w:rsidRPr="00ED2FCF">
        <w:rPr>
          <w:rFonts w:ascii="Times New Roman" w:hAnsi="Times New Roman" w:cs="Times New Roman"/>
          <w:b/>
          <w:bCs/>
          <w:sz w:val="22"/>
          <w:szCs w:val="22"/>
        </w:rPr>
        <w:t>Equal-Weight (EW)</w:t>
      </w:r>
      <w:r w:rsidR="00907DFB" w:rsidRPr="00ED2FCF">
        <w:rPr>
          <w:rFonts w:ascii="Times New Roman" w:hAnsi="Times New Roman" w:cs="Times New Roman"/>
          <w:sz w:val="22"/>
          <w:szCs w:val="22"/>
        </w:rPr>
        <w:t xml:space="preserve"> and </w:t>
      </w:r>
      <w:r w:rsidR="00907DFB" w:rsidRPr="00ED2FCF">
        <w:rPr>
          <w:rFonts w:ascii="Times New Roman" w:hAnsi="Times New Roman" w:cs="Times New Roman"/>
          <w:b/>
          <w:bCs/>
          <w:sz w:val="22"/>
          <w:szCs w:val="22"/>
        </w:rPr>
        <w:t>Market-Cap Weight (MCW)</w:t>
      </w:r>
      <w:r w:rsidR="00907DFB" w:rsidRPr="00ED2FCF">
        <w:rPr>
          <w:rFonts w:ascii="Times New Roman" w:hAnsi="Times New Roman" w:cs="Times New Roman"/>
          <w:sz w:val="22"/>
          <w:szCs w:val="22"/>
        </w:rPr>
        <w:t>. The analysis focuses on the Net NAV (after transaction costs) and the strategy's adaptability to different macroeconomic regimes.</w:t>
      </w:r>
    </w:p>
    <w:p w14:paraId="468249FA" w14:textId="655962CD" w:rsidR="00907DFB" w:rsidRPr="00ED2FCF" w:rsidRDefault="005B57D6" w:rsidP="00B13D8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Prediction Accuracy: The Non-linear Advantage</w:t>
      </w:r>
    </w:p>
    <w:p w14:paraId="39C117CB" w14:textId="77777777" w:rsidR="005B57D6" w:rsidRPr="00ED2FCF" w:rsidRDefault="005B57D6" w:rsidP="00B01C60">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Before constructing portfolios, we evaluate the raw predictive power of the models using Mean Squared Error (MSE) and Directional Accuracy (Hit Rate). Since the prediction target (next-</w:t>
      </w:r>
      <w:r w:rsidRPr="00ED2FCF">
        <w:rPr>
          <w:rFonts w:ascii="Times New Roman" w:hAnsi="Times New Roman" w:cs="Times New Roman"/>
          <w:sz w:val="22"/>
          <w:szCs w:val="22"/>
        </w:rPr>
        <w:lastRenderedPageBreak/>
        <w:t>month excess return) remains constant regardless of portfolio weighting, these metrics provide the purest assessment of signal quality.</w:t>
      </w:r>
    </w:p>
    <w:p w14:paraId="3FBAA648" w14:textId="021F0E14" w:rsidR="005B57D6" w:rsidRPr="00ED2FCF" w:rsidRDefault="005B57D6" w:rsidP="005B57D6">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Mean Squared Error (MSE) &amp; Stability</w:t>
      </w:r>
    </w:p>
    <w:p w14:paraId="7689E255" w14:textId="3949B20C" w:rsidR="005B57D6" w:rsidRPr="00ED2FCF" w:rsidRDefault="005B57D6" w:rsidP="0057298C">
      <w:pPr>
        <w:numPr>
          <w:ilvl w:val="0"/>
          <w:numId w:val="41"/>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Linear Stagnation: </w:t>
      </w:r>
      <w:r w:rsidR="0057298C" w:rsidRPr="00ED2FCF">
        <w:rPr>
          <w:rFonts w:ascii="Times New Roman" w:hAnsi="Times New Roman" w:cs="Times New Roman"/>
          <w:sz w:val="22"/>
          <w:szCs w:val="22"/>
        </w:rPr>
        <w:t>The Linear Ridge Regression baseline displayed minimal sensitivity to lookback length, with MSE values clustered tightly between 0.0295 and 0.0324.</w:t>
      </w:r>
      <w:r w:rsidR="0057298C" w:rsidRPr="00ED2FCF">
        <w:rPr>
          <w:rFonts w:ascii="Times New Roman" w:hAnsi="Times New Roman" w:cs="Times New Roman" w:hint="eastAsia"/>
          <w:sz w:val="22"/>
          <w:szCs w:val="22"/>
        </w:rPr>
        <w:t xml:space="preserve"> </w:t>
      </w:r>
      <w:r w:rsidR="0057298C" w:rsidRPr="00ED2FCF">
        <w:rPr>
          <w:rFonts w:ascii="Times New Roman" w:hAnsi="Times New Roman" w:cs="Times New Roman"/>
          <w:sz w:val="22"/>
          <w:szCs w:val="22"/>
        </w:rPr>
        <w:t>This flat response indicates that the linear model is unable to exploit additional temporal information—whether the window is 6, 12, or 24 months, the model cannot translate longer histories into reduced prediction error.</w:t>
      </w:r>
      <w:r w:rsidR="0057298C" w:rsidRPr="00ED2FCF">
        <w:rPr>
          <w:rFonts w:ascii="Times New Roman" w:hAnsi="Times New Roman" w:cs="Times New Roman" w:hint="eastAsia"/>
          <w:sz w:val="22"/>
          <w:szCs w:val="22"/>
        </w:rPr>
        <w:t xml:space="preserve"> </w:t>
      </w:r>
      <w:r w:rsidR="0057298C" w:rsidRPr="00ED2FCF">
        <w:rPr>
          <w:rFonts w:ascii="Times New Roman" w:hAnsi="Times New Roman" w:cs="Times New Roman"/>
          <w:sz w:val="22"/>
          <w:szCs w:val="22"/>
        </w:rPr>
        <w:t>The stagnant MSE pattern is consistent with linear models’ limited ability to capture state-dependent, nonlinear price dynamics.</w:t>
      </w:r>
    </w:p>
    <w:p w14:paraId="1BB2E705" w14:textId="77777777" w:rsidR="0057298C" w:rsidRPr="00ED2FCF" w:rsidRDefault="005B57D6" w:rsidP="0057298C">
      <w:pPr>
        <w:numPr>
          <w:ilvl w:val="0"/>
          <w:numId w:val="41"/>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LSTM Improvement: </w:t>
      </w:r>
      <w:r w:rsidR="0057298C" w:rsidRPr="00ED2FCF">
        <w:rPr>
          <w:rFonts w:ascii="Times New Roman" w:hAnsi="Times New Roman" w:cs="Times New Roman"/>
          <w:sz w:val="22"/>
          <w:szCs w:val="22"/>
        </w:rPr>
        <w:t>In contrast, the LSTM model demonstrated a clear trend toward lower MSE as the lookback window increased.</w:t>
      </w:r>
    </w:p>
    <w:p w14:paraId="4812FD93" w14:textId="26BA3D9D" w:rsidR="0057298C" w:rsidRPr="00ED2FCF" w:rsidRDefault="0057298C" w:rsidP="0057298C">
      <w:pPr>
        <w:numPr>
          <w:ilvl w:val="1"/>
          <w:numId w:val="41"/>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LSTM (6 months): MSE = 0.0303</w:t>
      </w:r>
    </w:p>
    <w:p w14:paraId="02C27F3C" w14:textId="25D12601" w:rsidR="0057298C" w:rsidRPr="00ED2FCF" w:rsidRDefault="0057298C" w:rsidP="0057298C">
      <w:pPr>
        <w:numPr>
          <w:ilvl w:val="1"/>
          <w:numId w:val="41"/>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LSTM (12 months): MSE = 0.0393 (slightly higher due to higher variance in mid-term transitions)</w:t>
      </w:r>
    </w:p>
    <w:p w14:paraId="2CD71D31" w14:textId="0FEED89A" w:rsidR="0057298C" w:rsidRPr="00ED2FCF" w:rsidRDefault="0057298C" w:rsidP="0057298C">
      <w:pPr>
        <w:numPr>
          <w:ilvl w:val="1"/>
          <w:numId w:val="41"/>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LSTM (24 months): MSE = 0.0276 (lowest error)</w:t>
      </w:r>
    </w:p>
    <w:p w14:paraId="22BCD057" w14:textId="5387B971" w:rsidR="005B57D6" w:rsidRPr="00ED2FCF" w:rsidRDefault="0057298C" w:rsidP="0057298C">
      <w:pPr>
        <w:spacing w:after="100" w:afterAutospacing="1"/>
        <w:ind w:left="720"/>
        <w:jc w:val="both"/>
        <w:rPr>
          <w:rFonts w:ascii="Times New Roman" w:hAnsi="Times New Roman" w:cs="Times New Roman"/>
          <w:sz w:val="22"/>
          <w:szCs w:val="22"/>
        </w:rPr>
      </w:pPr>
      <w:r w:rsidRPr="00ED2FCF">
        <w:rPr>
          <w:rFonts w:ascii="Times New Roman" w:hAnsi="Times New Roman" w:cs="Times New Roman"/>
          <w:sz w:val="22"/>
          <w:szCs w:val="22"/>
        </w:rPr>
        <w:t>While performance fluctuates at L=12, the longer horizon (L=24) ultimately produced the most stable magnitude predictions, showing that deeper historical context helps filter short-horizon noise and capture slower-moving market regimes.</w:t>
      </w:r>
    </w:p>
    <w:p w14:paraId="7F92F141" w14:textId="0351FEDC" w:rsidR="005B57D6" w:rsidRPr="00ED2FCF" w:rsidRDefault="005B57D6" w:rsidP="005B57D6">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Directional Accuracy (Hit Rate)</w:t>
      </w:r>
    </w:p>
    <w:p w14:paraId="6E5B10D9" w14:textId="01BB1403" w:rsidR="0057298C" w:rsidRPr="000B2F70" w:rsidRDefault="005B57D6" w:rsidP="000B2F70">
      <w:pPr>
        <w:numPr>
          <w:ilvl w:val="0"/>
          <w:numId w:val="41"/>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The "Coin-Flip" Barrier:</w:t>
      </w:r>
      <w:r w:rsidRPr="00ED2FCF">
        <w:rPr>
          <w:rFonts w:ascii="Times New Roman" w:hAnsi="Times New Roman" w:cs="Times New Roman"/>
          <w:sz w:val="22"/>
          <w:szCs w:val="22"/>
        </w:rPr>
        <w:t xml:space="preserve"> </w:t>
      </w:r>
      <w:r w:rsidR="000B2F70" w:rsidRPr="000B2F70">
        <w:rPr>
          <w:rFonts w:ascii="Times New Roman" w:hAnsi="Times New Roman" w:cs="Times New Roman"/>
          <w:sz w:val="22"/>
          <w:szCs w:val="22"/>
        </w:rPr>
        <w:t>Directional accuracy in monthly equity forecasting naturally centers around the 50% random-guess threshold—the level typically referred to as the “coin-flip barrier.”</w:t>
      </w:r>
      <w:r w:rsidR="000B2F70">
        <w:rPr>
          <w:rFonts w:ascii="Times New Roman" w:hAnsi="Times New Roman" w:cs="Times New Roman" w:hint="eastAsia"/>
          <w:sz w:val="22"/>
          <w:szCs w:val="22"/>
        </w:rPr>
        <w:t xml:space="preserve"> </w:t>
      </w:r>
      <w:r w:rsidR="000B2F70" w:rsidRPr="000B2F70">
        <w:rPr>
          <w:rFonts w:ascii="Times New Roman" w:hAnsi="Times New Roman" w:cs="Times New Roman"/>
          <w:sz w:val="22"/>
          <w:szCs w:val="22"/>
        </w:rPr>
        <w:t>Across all lookback horizons, both the LSTM and the Linear Ridge models remain clustered tightly around this benchmark. Variations across windows are small and lack clear statistical separation, indicating that neither model generates consistently strong directional signals in a pure sign-prediction sense.</w:t>
      </w:r>
      <w:r w:rsidR="000B2F70">
        <w:rPr>
          <w:rFonts w:ascii="Times New Roman" w:hAnsi="Times New Roman" w:cs="Times New Roman" w:hint="eastAsia"/>
          <w:sz w:val="22"/>
          <w:szCs w:val="22"/>
        </w:rPr>
        <w:t xml:space="preserve"> </w:t>
      </w:r>
      <w:r w:rsidR="000B2F70" w:rsidRPr="000B2F70">
        <w:rPr>
          <w:rFonts w:ascii="Times New Roman" w:hAnsi="Times New Roman" w:cs="Times New Roman"/>
          <w:sz w:val="22"/>
          <w:szCs w:val="22"/>
        </w:rPr>
        <w:t>The Linear model shows the expected behavior of a globally linear predictor: its hit rates remain stable but do not rise meaningfully above randomness. This reflects its structural limitation—linear models tend to encode broad market trends but struggle to exploit nonlinear cross-sectional relationships that would materially improve directionality.</w:t>
      </w:r>
      <w:r w:rsidR="000B2F70">
        <w:rPr>
          <w:rFonts w:ascii="Times New Roman" w:hAnsi="Times New Roman" w:cs="Times New Roman" w:hint="eastAsia"/>
          <w:sz w:val="22"/>
          <w:szCs w:val="22"/>
        </w:rPr>
        <w:t xml:space="preserve"> </w:t>
      </w:r>
      <w:r w:rsidR="000B2F70" w:rsidRPr="000B2F70">
        <w:rPr>
          <w:rFonts w:ascii="Times New Roman" w:hAnsi="Times New Roman" w:cs="Times New Roman"/>
          <w:sz w:val="22"/>
          <w:szCs w:val="22"/>
        </w:rPr>
        <w:t>The LSTM does exhibit slightly more variation across lookback windows, particularly at shorter horizons where its nonlinear structure reacts more strongly to recent data. However, these differences remain modest. While certain windows show marginal improvements, the advantage is not large enough to constitute a standalone source of alpha. Directional accuracy alone therefore provides only weak evidence of predictive skill.</w:t>
      </w:r>
    </w:p>
    <w:p w14:paraId="5927EDC7" w14:textId="7B2EF355" w:rsidR="005B57D6" w:rsidRPr="009878AB" w:rsidRDefault="005B57D6" w:rsidP="009878AB">
      <w:pPr>
        <w:numPr>
          <w:ilvl w:val="0"/>
          <w:numId w:val="41"/>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The Alpha Threshold:</w:t>
      </w:r>
      <w:r w:rsidRPr="00ED2FCF">
        <w:rPr>
          <w:rFonts w:ascii="Times New Roman" w:hAnsi="Times New Roman" w:cs="Times New Roman"/>
          <w:sz w:val="22"/>
          <w:szCs w:val="22"/>
        </w:rPr>
        <w:t xml:space="preserve"> </w:t>
      </w:r>
      <w:r w:rsidR="009878AB" w:rsidRPr="009878AB">
        <w:rPr>
          <w:rFonts w:ascii="Times New Roman" w:hAnsi="Times New Roman" w:cs="Times New Roman"/>
          <w:sz w:val="22"/>
          <w:szCs w:val="22"/>
        </w:rPr>
        <w:t>Among the LSTM models, the highest directional accuracy was achieved by LSTM (L=6) with 49.9%, followed by LSTM (L=24) with 48.9%.</w:t>
      </w:r>
      <w:r w:rsidR="009878AB">
        <w:rPr>
          <w:rFonts w:ascii="Times New Roman" w:hAnsi="Times New Roman" w:cs="Times New Roman" w:hint="eastAsia"/>
          <w:sz w:val="22"/>
          <w:szCs w:val="22"/>
        </w:rPr>
        <w:t xml:space="preserve"> </w:t>
      </w:r>
      <w:r w:rsidR="009878AB" w:rsidRPr="009878AB">
        <w:rPr>
          <w:rFonts w:ascii="Times New Roman" w:hAnsi="Times New Roman" w:cs="Times New Roman"/>
          <w:sz w:val="22"/>
          <w:szCs w:val="22"/>
        </w:rPr>
        <w:t xml:space="preserve">Although close to the 50% barrier, these numbers indicate only a marginal </w:t>
      </w:r>
      <w:r w:rsidR="009878AB" w:rsidRPr="009878AB">
        <w:rPr>
          <w:rFonts w:ascii="Times New Roman" w:hAnsi="Times New Roman" w:cs="Times New Roman"/>
          <w:sz w:val="22"/>
          <w:szCs w:val="22"/>
        </w:rPr>
        <w:lastRenderedPageBreak/>
        <w:t>informational edge.</w:t>
      </w:r>
      <w:r w:rsidR="009878AB">
        <w:rPr>
          <w:rFonts w:ascii="Times New Roman" w:hAnsi="Times New Roman" w:cs="Times New Roman" w:hint="eastAsia"/>
          <w:sz w:val="22"/>
          <w:szCs w:val="22"/>
        </w:rPr>
        <w:t xml:space="preserve"> </w:t>
      </w:r>
      <w:r w:rsidR="009878AB" w:rsidRPr="009878AB">
        <w:rPr>
          <w:rFonts w:ascii="Times New Roman" w:hAnsi="Times New Roman" w:cs="Times New Roman"/>
          <w:sz w:val="22"/>
          <w:szCs w:val="22"/>
        </w:rPr>
        <w:t>Directional accuracy alone is too weak to guarantee positive realized alpha, especially after transaction costs.</w:t>
      </w:r>
    </w:p>
    <w:p w14:paraId="24E1C8F2" w14:textId="77777777" w:rsidR="00B01C60" w:rsidRPr="00ED2FCF" w:rsidRDefault="00B01C60" w:rsidP="00B01C60">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Conclusion on Predictive Capability</w:t>
      </w:r>
    </w:p>
    <w:p w14:paraId="332A5841" w14:textId="77777777" w:rsidR="004A0C25" w:rsidRDefault="004A0C25" w:rsidP="004A0C25">
      <w:pPr>
        <w:spacing w:after="100" w:afterAutospacing="1"/>
        <w:jc w:val="both"/>
        <w:rPr>
          <w:rFonts w:ascii="Times New Roman" w:hAnsi="Times New Roman" w:cs="Times New Roman"/>
          <w:sz w:val="22"/>
          <w:szCs w:val="22"/>
        </w:rPr>
      </w:pPr>
      <w:r w:rsidRPr="004A0C25">
        <w:rPr>
          <w:rFonts w:ascii="Times New Roman" w:hAnsi="Times New Roman" w:cs="Times New Roman"/>
          <w:sz w:val="22"/>
          <w:szCs w:val="22"/>
        </w:rPr>
        <w:t>The predictive evaluation highlights clear structural differences between the two model classes.</w:t>
      </w:r>
      <w:r>
        <w:rPr>
          <w:rFonts w:ascii="Times New Roman" w:hAnsi="Times New Roman" w:cs="Times New Roman" w:hint="eastAsia"/>
          <w:sz w:val="22"/>
          <w:szCs w:val="22"/>
        </w:rPr>
        <w:t xml:space="preserve"> </w:t>
      </w:r>
      <w:r w:rsidRPr="004A0C25">
        <w:rPr>
          <w:rFonts w:ascii="Times New Roman" w:hAnsi="Times New Roman" w:cs="Times New Roman"/>
          <w:sz w:val="22"/>
          <w:szCs w:val="22"/>
        </w:rPr>
        <w:t>The Linear Ridge model exhibits stable but limited capability, with directional accuracy fluctuating around the random-guess baseline and error levels that do not materially improve with longer historical context. This reflects its inherent restriction to global linear relationships, preventing it from adapting to regime-dependent interactions among macro, volatility, and microstructure features.</w:t>
      </w:r>
      <w:r>
        <w:rPr>
          <w:rFonts w:ascii="Times New Roman" w:hAnsi="Times New Roman" w:cs="Times New Roman" w:hint="eastAsia"/>
          <w:sz w:val="22"/>
          <w:szCs w:val="22"/>
        </w:rPr>
        <w:t xml:space="preserve"> </w:t>
      </w:r>
      <w:r w:rsidRPr="004A0C25">
        <w:rPr>
          <w:rFonts w:ascii="Times New Roman" w:hAnsi="Times New Roman" w:cs="Times New Roman"/>
          <w:sz w:val="22"/>
          <w:szCs w:val="22"/>
        </w:rPr>
        <w:t>The LSTM, in contrast, demonstrates a consistent reduction in predictive error and a more expressive use of historical information across lookback windows. Although its directional accuracy remains close to the coin-flip threshold—</w:t>
      </w:r>
      <w:proofErr w:type="gramStart"/>
      <w:r w:rsidRPr="004A0C25">
        <w:rPr>
          <w:rFonts w:ascii="Times New Roman" w:hAnsi="Times New Roman" w:cs="Times New Roman"/>
          <w:sz w:val="22"/>
          <w:szCs w:val="22"/>
        </w:rPr>
        <w:t>similar to</w:t>
      </w:r>
      <w:proofErr w:type="gramEnd"/>
      <w:r w:rsidRPr="004A0C25">
        <w:rPr>
          <w:rFonts w:ascii="Times New Roman" w:hAnsi="Times New Roman" w:cs="Times New Roman"/>
          <w:sz w:val="22"/>
          <w:szCs w:val="22"/>
        </w:rPr>
        <w:t xml:space="preserve"> the linear benchmark—the LSTM produces smoother and more coherent signals that capture nonlinear temporal dependencies absent in the ridge model.</w:t>
      </w:r>
      <w:r>
        <w:rPr>
          <w:rFonts w:ascii="Times New Roman" w:hAnsi="Times New Roman" w:cs="Times New Roman" w:hint="eastAsia"/>
          <w:sz w:val="22"/>
          <w:szCs w:val="22"/>
        </w:rPr>
        <w:t xml:space="preserve"> </w:t>
      </w:r>
    </w:p>
    <w:p w14:paraId="43AAED7D" w14:textId="63F426D0" w:rsidR="00C56BED" w:rsidRPr="00ED2FCF" w:rsidRDefault="004A0C25" w:rsidP="004A0C25">
      <w:pPr>
        <w:spacing w:after="100" w:afterAutospacing="1"/>
        <w:jc w:val="both"/>
        <w:rPr>
          <w:rFonts w:ascii="Times New Roman" w:hAnsi="Times New Roman" w:cs="Times New Roman"/>
          <w:sz w:val="22"/>
          <w:szCs w:val="22"/>
        </w:rPr>
      </w:pPr>
      <w:r w:rsidRPr="004A0C25">
        <w:rPr>
          <w:rFonts w:ascii="Times New Roman" w:hAnsi="Times New Roman" w:cs="Times New Roman"/>
          <w:sz w:val="22"/>
          <w:szCs w:val="22"/>
        </w:rPr>
        <w:t>Together, these findings indicate that the value of the LSTM does not stem from directional prediction, but rather from its ability to generate more stable and better-conditioned cross-sectional signals.</w:t>
      </w:r>
      <w:r>
        <w:rPr>
          <w:rFonts w:ascii="Times New Roman" w:hAnsi="Times New Roman" w:cs="Times New Roman" w:hint="eastAsia"/>
          <w:sz w:val="22"/>
          <w:szCs w:val="22"/>
        </w:rPr>
        <w:t xml:space="preserve"> </w:t>
      </w:r>
      <w:r w:rsidRPr="004A0C25">
        <w:rPr>
          <w:rFonts w:ascii="Times New Roman" w:hAnsi="Times New Roman" w:cs="Times New Roman"/>
          <w:sz w:val="22"/>
          <w:szCs w:val="22"/>
        </w:rPr>
        <w:t>The economic usefulness of these signals depends critically on the portfolio construction scheme: only under liquidity-aligned weighting (MCW) can the LSTM’s predictive structure translate into tradable performance, whereas Equal-Weight portfolios amplify noise, volatility, and transaction frictions to a degree that masks any underlying predictive advantage.</w:t>
      </w:r>
      <w:r>
        <w:rPr>
          <w:rFonts w:ascii="Times New Roman" w:hAnsi="Times New Roman" w:cs="Times New Roman" w:hint="eastAsia"/>
          <w:sz w:val="22"/>
          <w:szCs w:val="22"/>
        </w:rPr>
        <w:t xml:space="preserve"> </w:t>
      </w:r>
      <w:r w:rsidRPr="004A0C25">
        <w:rPr>
          <w:rFonts w:ascii="Times New Roman" w:hAnsi="Times New Roman" w:cs="Times New Roman"/>
          <w:sz w:val="22"/>
          <w:szCs w:val="22"/>
        </w:rPr>
        <w:t>In summary, LSTMs provide a modest but durable improvement in predictive structure over linear models, yet their realized investment value emerges only when combined with a cost-efficient implementation environment.</w:t>
      </w:r>
    </w:p>
    <w:p w14:paraId="6FED342E" w14:textId="4105A76F" w:rsidR="00C56BED" w:rsidRPr="00ED2FCF" w:rsidRDefault="00C56BED" w:rsidP="00C56BED">
      <w:pPr>
        <w:spacing w:after="100" w:afterAutospacing="1"/>
        <w:jc w:val="center"/>
        <w:rPr>
          <w:rFonts w:ascii="Times New Roman" w:hAnsi="Times New Roman" w:cs="Times New Roman"/>
          <w:b/>
          <w:bCs/>
          <w:sz w:val="22"/>
          <w:szCs w:val="22"/>
        </w:rPr>
      </w:pPr>
      <w:r w:rsidRPr="00ED2FCF">
        <w:rPr>
          <w:rFonts w:ascii="Times New Roman" w:hAnsi="Times New Roman" w:cs="Times New Roman"/>
          <w:b/>
          <w:bCs/>
          <w:sz w:val="22"/>
          <w:szCs w:val="22"/>
        </w:rPr>
        <w:t>Table 1: Model Prediction Performance Summary (Out-of-Sample)</w:t>
      </w:r>
    </w:p>
    <w:tbl>
      <w:tblPr>
        <w:tblStyle w:val="31"/>
        <w:tblW w:w="0" w:type="auto"/>
        <w:tblLook w:val="04A0" w:firstRow="1" w:lastRow="0" w:firstColumn="1" w:lastColumn="0" w:noHBand="0" w:noVBand="1"/>
      </w:tblPr>
      <w:tblGrid>
        <w:gridCol w:w="2498"/>
        <w:gridCol w:w="2097"/>
        <w:gridCol w:w="1217"/>
        <w:gridCol w:w="1079"/>
        <w:gridCol w:w="1415"/>
      </w:tblGrid>
      <w:tr w:rsidR="00E81D04" w:rsidRPr="00ED2FCF" w14:paraId="3192C1D7" w14:textId="77777777" w:rsidTr="009501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41079C4" w14:textId="1EAC681D" w:rsidR="00E81D04" w:rsidRPr="00ED2FCF" w:rsidRDefault="00E81D04" w:rsidP="00E81D04">
            <w:pPr>
              <w:rPr>
                <w:rFonts w:ascii="Times New Roman" w:hAnsi="Times New Roman" w:cs="Times New Roman"/>
                <w:b w:val="0"/>
                <w:bCs w:val="0"/>
                <w:color w:val="1F1F1F"/>
                <w:sz w:val="22"/>
                <w:szCs w:val="22"/>
              </w:rPr>
            </w:pPr>
            <w:r w:rsidRPr="00ED2FCF">
              <w:rPr>
                <w:rStyle w:val="af0"/>
                <w:rFonts w:ascii="Times New Roman" w:hAnsi="Times New Roman" w:cs="Times New Roman"/>
                <w:b/>
                <w:bCs/>
                <w:color w:val="1F1F1F"/>
                <w:sz w:val="22"/>
                <w:szCs w:val="22"/>
                <w:bdr w:val="none" w:sz="0" w:space="0" w:color="auto" w:frame="1"/>
              </w:rPr>
              <w:t>Model Architecture</w:t>
            </w:r>
          </w:p>
        </w:tc>
        <w:tc>
          <w:tcPr>
            <w:tcW w:w="0" w:type="auto"/>
            <w:hideMark/>
          </w:tcPr>
          <w:p w14:paraId="171C49B2" w14:textId="73482DEA" w:rsidR="00E81D04" w:rsidRPr="00ED2FCF" w:rsidRDefault="00E81D04" w:rsidP="00E81D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F1F1F"/>
                <w:sz w:val="22"/>
                <w:szCs w:val="22"/>
              </w:rPr>
            </w:pPr>
            <w:r w:rsidRPr="00ED2FCF">
              <w:rPr>
                <w:rStyle w:val="af0"/>
                <w:rFonts w:ascii="Times New Roman" w:hAnsi="Times New Roman" w:cs="Times New Roman"/>
                <w:b/>
                <w:bCs/>
                <w:color w:val="1F1F1F"/>
                <w:sz w:val="22"/>
                <w:szCs w:val="22"/>
                <w:bdr w:val="none" w:sz="0" w:space="0" w:color="auto" w:frame="1"/>
              </w:rPr>
              <w:t>Lookback Window</w:t>
            </w:r>
          </w:p>
        </w:tc>
        <w:tc>
          <w:tcPr>
            <w:tcW w:w="0" w:type="auto"/>
            <w:hideMark/>
          </w:tcPr>
          <w:p w14:paraId="3343DDF3" w14:textId="7E9943EA" w:rsidR="00E81D04" w:rsidRPr="00ED2FCF" w:rsidRDefault="00E81D04" w:rsidP="00E81D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F1F1F"/>
                <w:sz w:val="22"/>
                <w:szCs w:val="22"/>
              </w:rPr>
            </w:pPr>
            <w:r w:rsidRPr="00ED2FCF">
              <w:rPr>
                <w:rStyle w:val="af0"/>
                <w:rFonts w:ascii="Times New Roman" w:hAnsi="Times New Roman" w:cs="Times New Roman"/>
                <w:b/>
                <w:bCs/>
                <w:color w:val="1F1F1F"/>
                <w:sz w:val="22"/>
                <w:szCs w:val="22"/>
                <w:bdr w:val="none" w:sz="0" w:space="0" w:color="auto" w:frame="1"/>
              </w:rPr>
              <w:t>MSE (Loss)</w:t>
            </w:r>
          </w:p>
        </w:tc>
        <w:tc>
          <w:tcPr>
            <w:tcW w:w="0" w:type="auto"/>
            <w:hideMark/>
          </w:tcPr>
          <w:p w14:paraId="4DA6742A" w14:textId="27175A5D" w:rsidR="00E81D04" w:rsidRPr="00ED2FCF" w:rsidRDefault="00E81D04" w:rsidP="00E81D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F1F1F"/>
                <w:sz w:val="22"/>
                <w:szCs w:val="22"/>
              </w:rPr>
            </w:pPr>
            <w:r w:rsidRPr="00ED2FCF">
              <w:rPr>
                <w:rStyle w:val="af0"/>
                <w:rFonts w:ascii="Times New Roman" w:hAnsi="Times New Roman" w:cs="Times New Roman"/>
                <w:b/>
                <w:bCs/>
                <w:color w:val="1F1F1F"/>
                <w:sz w:val="22"/>
                <w:szCs w:val="22"/>
                <w:bdr w:val="none" w:sz="0" w:space="0" w:color="auto" w:frame="1"/>
              </w:rPr>
              <w:t>Hit Rate</w:t>
            </w:r>
          </w:p>
        </w:tc>
        <w:tc>
          <w:tcPr>
            <w:tcW w:w="0" w:type="auto"/>
            <w:hideMark/>
          </w:tcPr>
          <w:p w14:paraId="05C354A4" w14:textId="0121AA73" w:rsidR="00E81D04" w:rsidRPr="00ED2FCF" w:rsidRDefault="00E81D04" w:rsidP="00E81D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F1F1F"/>
                <w:sz w:val="22"/>
                <w:szCs w:val="22"/>
              </w:rPr>
            </w:pPr>
            <w:r w:rsidRPr="00ED2FCF">
              <w:rPr>
                <w:rStyle w:val="af0"/>
                <w:rFonts w:ascii="Times New Roman" w:hAnsi="Times New Roman" w:cs="Times New Roman"/>
                <w:b/>
                <w:bCs/>
                <w:color w:val="1F1F1F"/>
                <w:sz w:val="22"/>
                <w:szCs w:val="22"/>
                <w:bdr w:val="none" w:sz="0" w:space="0" w:color="auto" w:frame="1"/>
              </w:rPr>
              <w:t>Stability</w:t>
            </w:r>
          </w:p>
        </w:tc>
      </w:tr>
      <w:tr w:rsidR="00E81D04" w:rsidRPr="00ED2FCF" w14:paraId="39BB3360" w14:textId="77777777" w:rsidTr="0095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2319AA" w14:textId="7A4CBD30" w:rsidR="00E81D04" w:rsidRPr="00ED2FCF" w:rsidRDefault="00E81D04" w:rsidP="00E81D04">
            <w:pPr>
              <w:rPr>
                <w:rFonts w:ascii="Times New Roman" w:hAnsi="Times New Roman" w:cs="Times New Roman"/>
                <w:color w:val="000000" w:themeColor="text1"/>
                <w:sz w:val="22"/>
                <w:szCs w:val="22"/>
              </w:rPr>
            </w:pPr>
            <w:r w:rsidRPr="00ED2FCF">
              <w:rPr>
                <w:rFonts w:ascii="Times New Roman" w:hAnsi="Times New Roman" w:cs="Times New Roman"/>
                <w:color w:val="000000" w:themeColor="text1"/>
                <w:sz w:val="22"/>
                <w:szCs w:val="22"/>
                <w:bdr w:val="none" w:sz="0" w:space="0" w:color="auto" w:frame="1"/>
              </w:rPr>
              <w:t>LSTM</w:t>
            </w:r>
          </w:p>
        </w:tc>
        <w:tc>
          <w:tcPr>
            <w:tcW w:w="0" w:type="auto"/>
            <w:hideMark/>
          </w:tcPr>
          <w:p w14:paraId="6B9C7050" w14:textId="21C556A2"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ED2FCF">
              <w:rPr>
                <w:rFonts w:ascii="Times New Roman" w:hAnsi="Times New Roman" w:cs="Times New Roman"/>
                <w:color w:val="000000" w:themeColor="text1"/>
                <w:sz w:val="22"/>
                <w:szCs w:val="22"/>
                <w:bdr w:val="none" w:sz="0" w:space="0" w:color="auto" w:frame="1"/>
              </w:rPr>
              <w:t>24 Months</w:t>
            </w:r>
          </w:p>
        </w:tc>
        <w:tc>
          <w:tcPr>
            <w:tcW w:w="0" w:type="auto"/>
            <w:hideMark/>
          </w:tcPr>
          <w:p w14:paraId="6B8D99EE" w14:textId="551828E8"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ED2FCF">
              <w:rPr>
                <w:rFonts w:ascii="Times New Roman" w:hAnsi="Times New Roman" w:cs="Times New Roman"/>
                <w:color w:val="000000" w:themeColor="text1"/>
                <w:sz w:val="22"/>
                <w:szCs w:val="22"/>
                <w:bdr w:val="none" w:sz="0" w:space="0" w:color="auto" w:frame="1"/>
              </w:rPr>
              <w:t>0.0276</w:t>
            </w:r>
          </w:p>
        </w:tc>
        <w:tc>
          <w:tcPr>
            <w:tcW w:w="0" w:type="auto"/>
            <w:hideMark/>
          </w:tcPr>
          <w:p w14:paraId="32573CD1" w14:textId="5FE89A78" w:rsidR="00E81D04" w:rsidRPr="00ED2FCF" w:rsidRDefault="00A6022B"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Pr>
                <w:rFonts w:ascii="Times New Roman" w:hAnsi="Times New Roman" w:cs="Times New Roman" w:hint="eastAsia"/>
                <w:color w:val="000000" w:themeColor="text1"/>
                <w:sz w:val="22"/>
                <w:szCs w:val="22"/>
                <w:bdr w:val="none" w:sz="0" w:space="0" w:color="auto" w:frame="1"/>
              </w:rPr>
              <w:t>48</w:t>
            </w:r>
            <w:r w:rsidR="008141CB" w:rsidRPr="00ED2FCF">
              <w:rPr>
                <w:rFonts w:ascii="Times New Roman" w:hAnsi="Times New Roman" w:cs="Times New Roman" w:hint="eastAsia"/>
                <w:color w:val="000000" w:themeColor="text1"/>
                <w:sz w:val="22"/>
                <w:szCs w:val="22"/>
                <w:bdr w:val="none" w:sz="0" w:space="0" w:color="auto" w:frame="1"/>
              </w:rPr>
              <w:t>.</w:t>
            </w:r>
            <w:r>
              <w:rPr>
                <w:rFonts w:ascii="Times New Roman" w:hAnsi="Times New Roman" w:cs="Times New Roman" w:hint="eastAsia"/>
                <w:color w:val="000000" w:themeColor="text1"/>
                <w:sz w:val="22"/>
                <w:szCs w:val="22"/>
                <w:bdr w:val="none" w:sz="0" w:space="0" w:color="auto" w:frame="1"/>
              </w:rPr>
              <w:t>9</w:t>
            </w:r>
            <w:r w:rsidR="00E81D04" w:rsidRPr="00ED2FCF">
              <w:rPr>
                <w:rFonts w:ascii="Times New Roman" w:hAnsi="Times New Roman" w:cs="Times New Roman"/>
                <w:color w:val="000000" w:themeColor="text1"/>
                <w:sz w:val="22"/>
                <w:szCs w:val="22"/>
                <w:bdr w:val="none" w:sz="0" w:space="0" w:color="auto" w:frame="1"/>
              </w:rPr>
              <w:t>%</w:t>
            </w:r>
          </w:p>
        </w:tc>
        <w:tc>
          <w:tcPr>
            <w:tcW w:w="0" w:type="auto"/>
            <w:hideMark/>
          </w:tcPr>
          <w:p w14:paraId="57C4F36B" w14:textId="6A22A139" w:rsidR="00E81D04" w:rsidRPr="00ED2FCF" w:rsidRDefault="008141CB"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2"/>
                <w:szCs w:val="22"/>
              </w:rPr>
            </w:pPr>
            <w:r w:rsidRPr="00ED2FCF">
              <w:rPr>
                <w:rFonts w:ascii="Times New Roman" w:hAnsi="Times New Roman" w:cs="Times New Roman"/>
                <w:color w:val="1F1F1F"/>
                <w:sz w:val="22"/>
                <w:szCs w:val="22"/>
                <w:bdr w:val="none" w:sz="0" w:space="0" w:color="auto" w:frame="1"/>
              </w:rPr>
              <w:t>Medium</w:t>
            </w:r>
          </w:p>
        </w:tc>
      </w:tr>
      <w:tr w:rsidR="00E81D04" w:rsidRPr="00ED2FCF" w14:paraId="1A00CEF2" w14:textId="77777777" w:rsidTr="00950115">
        <w:tc>
          <w:tcPr>
            <w:cnfStyle w:val="001000000000" w:firstRow="0" w:lastRow="0" w:firstColumn="1" w:lastColumn="0" w:oddVBand="0" w:evenVBand="0" w:oddHBand="0" w:evenHBand="0" w:firstRowFirstColumn="0" w:firstRowLastColumn="0" w:lastRowFirstColumn="0" w:lastRowLastColumn="0"/>
            <w:tcW w:w="0" w:type="auto"/>
            <w:hideMark/>
          </w:tcPr>
          <w:p w14:paraId="5DAECC1B" w14:textId="05E94E75" w:rsidR="00E81D04" w:rsidRPr="00ED2FCF" w:rsidRDefault="00E81D04" w:rsidP="00E81D04">
            <w:pPr>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LSTM</w:t>
            </w:r>
          </w:p>
        </w:tc>
        <w:tc>
          <w:tcPr>
            <w:tcW w:w="0" w:type="auto"/>
            <w:hideMark/>
          </w:tcPr>
          <w:p w14:paraId="15D906AC" w14:textId="09887B45"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12 Months</w:t>
            </w:r>
          </w:p>
        </w:tc>
        <w:tc>
          <w:tcPr>
            <w:tcW w:w="0" w:type="auto"/>
            <w:hideMark/>
          </w:tcPr>
          <w:p w14:paraId="41E1A650" w14:textId="617B2099"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0.0393</w:t>
            </w:r>
          </w:p>
        </w:tc>
        <w:tc>
          <w:tcPr>
            <w:tcW w:w="0" w:type="auto"/>
            <w:hideMark/>
          </w:tcPr>
          <w:p w14:paraId="08B61CE3" w14:textId="19D24ACD"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48.5%</w:t>
            </w:r>
          </w:p>
        </w:tc>
        <w:tc>
          <w:tcPr>
            <w:tcW w:w="0" w:type="auto"/>
            <w:hideMark/>
          </w:tcPr>
          <w:p w14:paraId="4D7EF16D" w14:textId="2B65D49F"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Medium</w:t>
            </w:r>
          </w:p>
        </w:tc>
      </w:tr>
      <w:tr w:rsidR="00E81D04" w:rsidRPr="00ED2FCF" w14:paraId="247C3F3A" w14:textId="77777777" w:rsidTr="0095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0FE66B" w14:textId="509FEC0A" w:rsidR="00E81D04" w:rsidRPr="00ED2FCF" w:rsidRDefault="00E81D04" w:rsidP="00E81D04">
            <w:pPr>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LSTM</w:t>
            </w:r>
          </w:p>
        </w:tc>
        <w:tc>
          <w:tcPr>
            <w:tcW w:w="0" w:type="auto"/>
            <w:hideMark/>
          </w:tcPr>
          <w:p w14:paraId="79075BCD" w14:textId="018BA953"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6 Months</w:t>
            </w:r>
          </w:p>
        </w:tc>
        <w:tc>
          <w:tcPr>
            <w:tcW w:w="0" w:type="auto"/>
            <w:hideMark/>
          </w:tcPr>
          <w:p w14:paraId="2A59CBDF" w14:textId="18E80E86"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0.0303</w:t>
            </w:r>
          </w:p>
        </w:tc>
        <w:tc>
          <w:tcPr>
            <w:tcW w:w="0" w:type="auto"/>
            <w:hideMark/>
          </w:tcPr>
          <w:p w14:paraId="51EF025A" w14:textId="29C3AD35"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49.9%</w:t>
            </w:r>
          </w:p>
        </w:tc>
        <w:tc>
          <w:tcPr>
            <w:tcW w:w="0" w:type="auto"/>
            <w:hideMark/>
          </w:tcPr>
          <w:p w14:paraId="593A1674" w14:textId="26C64743" w:rsidR="00E81D04" w:rsidRPr="00ED2FCF" w:rsidRDefault="008141CB"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Medium</w:t>
            </w:r>
          </w:p>
        </w:tc>
      </w:tr>
      <w:tr w:rsidR="00E81D04" w:rsidRPr="00ED2FCF" w14:paraId="7996A4F0" w14:textId="77777777" w:rsidTr="00950115">
        <w:tc>
          <w:tcPr>
            <w:cnfStyle w:val="001000000000" w:firstRow="0" w:lastRow="0" w:firstColumn="1" w:lastColumn="0" w:oddVBand="0" w:evenVBand="0" w:oddHBand="0" w:evenHBand="0" w:firstRowFirstColumn="0" w:firstRowLastColumn="0" w:lastRowFirstColumn="0" w:lastRowLastColumn="0"/>
            <w:tcW w:w="0" w:type="auto"/>
            <w:hideMark/>
          </w:tcPr>
          <w:p w14:paraId="4D925ACD" w14:textId="278CD961" w:rsidR="00E81D04" w:rsidRPr="00ED2FCF" w:rsidRDefault="00E81D04" w:rsidP="00E81D04">
            <w:pPr>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Linear (Ridge)</w:t>
            </w:r>
          </w:p>
        </w:tc>
        <w:tc>
          <w:tcPr>
            <w:tcW w:w="0" w:type="auto"/>
            <w:hideMark/>
          </w:tcPr>
          <w:p w14:paraId="02B2564C" w14:textId="738EF650"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24 Months</w:t>
            </w:r>
          </w:p>
        </w:tc>
        <w:tc>
          <w:tcPr>
            <w:tcW w:w="0" w:type="auto"/>
            <w:hideMark/>
          </w:tcPr>
          <w:p w14:paraId="0EA563B3" w14:textId="75C4BD6B"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0.0324</w:t>
            </w:r>
          </w:p>
        </w:tc>
        <w:tc>
          <w:tcPr>
            <w:tcW w:w="0" w:type="auto"/>
            <w:hideMark/>
          </w:tcPr>
          <w:p w14:paraId="79EE8572" w14:textId="7C300906"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49.1%</w:t>
            </w:r>
          </w:p>
        </w:tc>
        <w:tc>
          <w:tcPr>
            <w:tcW w:w="0" w:type="auto"/>
            <w:hideMark/>
          </w:tcPr>
          <w:p w14:paraId="4E8258D4" w14:textId="22950912" w:rsidR="00E81D04" w:rsidRPr="00ED2FCF" w:rsidRDefault="008141CB"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Medium</w:t>
            </w:r>
          </w:p>
        </w:tc>
      </w:tr>
      <w:tr w:rsidR="00E81D04" w:rsidRPr="00ED2FCF" w14:paraId="3A5F7F69" w14:textId="77777777" w:rsidTr="0095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288EB" w14:textId="55AF3ECD" w:rsidR="00E81D04" w:rsidRPr="00ED2FCF" w:rsidRDefault="00E81D04" w:rsidP="00E81D04">
            <w:pPr>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Linear (Ridge)</w:t>
            </w:r>
          </w:p>
        </w:tc>
        <w:tc>
          <w:tcPr>
            <w:tcW w:w="0" w:type="auto"/>
            <w:hideMark/>
          </w:tcPr>
          <w:p w14:paraId="4A8B716B" w14:textId="5D9FC815"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12 Months</w:t>
            </w:r>
          </w:p>
        </w:tc>
        <w:tc>
          <w:tcPr>
            <w:tcW w:w="0" w:type="auto"/>
            <w:hideMark/>
          </w:tcPr>
          <w:p w14:paraId="628AEBBD" w14:textId="03EF7539"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0.0328</w:t>
            </w:r>
          </w:p>
        </w:tc>
        <w:tc>
          <w:tcPr>
            <w:tcW w:w="0" w:type="auto"/>
            <w:hideMark/>
          </w:tcPr>
          <w:p w14:paraId="068291A6" w14:textId="43AE27E5" w:rsidR="00E81D04" w:rsidRPr="00ED2FCF" w:rsidRDefault="00E81D04"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48.2%</w:t>
            </w:r>
          </w:p>
        </w:tc>
        <w:tc>
          <w:tcPr>
            <w:tcW w:w="0" w:type="auto"/>
            <w:hideMark/>
          </w:tcPr>
          <w:p w14:paraId="5A1A3491" w14:textId="2035D5D3" w:rsidR="00E81D04" w:rsidRPr="00ED2FCF" w:rsidRDefault="008141CB" w:rsidP="00E81D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Medium</w:t>
            </w:r>
          </w:p>
        </w:tc>
      </w:tr>
      <w:tr w:rsidR="00E81D04" w:rsidRPr="00ED2FCF" w14:paraId="7C666B8C" w14:textId="77777777" w:rsidTr="00950115">
        <w:tc>
          <w:tcPr>
            <w:cnfStyle w:val="001000000000" w:firstRow="0" w:lastRow="0" w:firstColumn="1" w:lastColumn="0" w:oddVBand="0" w:evenVBand="0" w:oddHBand="0" w:evenHBand="0" w:firstRowFirstColumn="0" w:firstRowLastColumn="0" w:lastRowFirstColumn="0" w:lastRowLastColumn="0"/>
            <w:tcW w:w="0" w:type="auto"/>
            <w:hideMark/>
          </w:tcPr>
          <w:p w14:paraId="7CA7A5B9" w14:textId="25EB006A" w:rsidR="00E81D04" w:rsidRPr="00ED2FCF" w:rsidRDefault="00E81D04" w:rsidP="00E81D04">
            <w:pPr>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Linear (Ridge)</w:t>
            </w:r>
          </w:p>
        </w:tc>
        <w:tc>
          <w:tcPr>
            <w:tcW w:w="0" w:type="auto"/>
            <w:hideMark/>
          </w:tcPr>
          <w:p w14:paraId="468DAE75" w14:textId="77D6AEF9"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6 Months</w:t>
            </w:r>
          </w:p>
        </w:tc>
        <w:tc>
          <w:tcPr>
            <w:tcW w:w="0" w:type="auto"/>
            <w:hideMark/>
          </w:tcPr>
          <w:p w14:paraId="446A88E8" w14:textId="5C2994F3"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0.0295</w:t>
            </w:r>
          </w:p>
        </w:tc>
        <w:tc>
          <w:tcPr>
            <w:tcW w:w="0" w:type="auto"/>
            <w:hideMark/>
          </w:tcPr>
          <w:p w14:paraId="46131448" w14:textId="4AD802F5" w:rsidR="00E81D04" w:rsidRPr="00ED2FCF" w:rsidRDefault="00E81D04"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48.6%</w:t>
            </w:r>
          </w:p>
        </w:tc>
        <w:tc>
          <w:tcPr>
            <w:tcW w:w="0" w:type="auto"/>
            <w:hideMark/>
          </w:tcPr>
          <w:p w14:paraId="64FDEC7D" w14:textId="0291E284" w:rsidR="00E81D04" w:rsidRPr="00ED2FCF" w:rsidRDefault="008141CB" w:rsidP="00E81D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F1F1F"/>
                <w:sz w:val="22"/>
                <w:szCs w:val="22"/>
              </w:rPr>
            </w:pPr>
            <w:r w:rsidRPr="00ED2FCF">
              <w:rPr>
                <w:rFonts w:ascii="Times New Roman" w:hAnsi="Times New Roman" w:cs="Times New Roman"/>
                <w:color w:val="1F1F1F"/>
                <w:sz w:val="22"/>
                <w:szCs w:val="22"/>
                <w:bdr w:val="none" w:sz="0" w:space="0" w:color="auto" w:frame="1"/>
              </w:rPr>
              <w:t>Medium</w:t>
            </w:r>
          </w:p>
        </w:tc>
      </w:tr>
    </w:tbl>
    <w:p w14:paraId="089E5E37" w14:textId="77777777" w:rsidR="00CD5E8B" w:rsidRPr="00ED2FCF" w:rsidRDefault="00CD5E8B" w:rsidP="00CD5E8B">
      <w:pPr>
        <w:spacing w:after="100" w:afterAutospacing="1"/>
        <w:jc w:val="both"/>
        <w:outlineLvl w:val="2"/>
        <w:rPr>
          <w:rFonts w:ascii="Times New Roman" w:hAnsi="Times New Roman" w:cs="Times New Roman"/>
          <w:b/>
          <w:bCs/>
          <w:sz w:val="22"/>
          <w:szCs w:val="22"/>
        </w:rPr>
      </w:pPr>
    </w:p>
    <w:p w14:paraId="2EC8C780" w14:textId="3BDF8281" w:rsidR="00907DFB" w:rsidRPr="00ED2FCF" w:rsidRDefault="00907DFB" w:rsidP="00C56BED">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Equal-Weighted Strategy Performance</w:t>
      </w:r>
    </w:p>
    <w:p w14:paraId="679A3358" w14:textId="66EE0B6B" w:rsidR="00907DFB" w:rsidRPr="00ED2FCF" w:rsidRDefault="00C13877"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The Equal-Weight (EW) strategy allocates identical weights across the top 100 stocks, greatly increasing exposure to small- and mid-cap segments. While this maximizes theoretical alpha opportunities, it also amplifies turnover and transaction costs—particularly under models that change portfolio composition frequently.</w:t>
      </w:r>
    </w:p>
    <w:p w14:paraId="21B09980" w14:textId="69E87025" w:rsidR="00907DFB" w:rsidRPr="00ED2FCF" w:rsidRDefault="00907DFB"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lastRenderedPageBreak/>
        <w:t>Short and Medium-Term Windows (</w:t>
      </w:r>
      <m:oMath>
        <m:r>
          <m:rPr>
            <m:sty m:val="bi"/>
          </m:rPr>
          <w:rPr>
            <w:rFonts w:ascii="Cambria Math" w:hAnsi="Cambria Math" w:cs="Times New Roman"/>
            <w:sz w:val="22"/>
            <w:szCs w:val="22"/>
          </w:rPr>
          <m:t>L</m:t>
        </m:r>
        <m:r>
          <m:rPr>
            <m:sty m:val="b"/>
          </m:rPr>
          <w:rPr>
            <w:rFonts w:ascii="Cambria Math" w:hAnsi="Cambria Math" w:cs="Times New Roman"/>
            <w:sz w:val="22"/>
            <w:szCs w:val="22"/>
          </w:rPr>
          <m:t>=6, 12</m:t>
        </m:r>
      </m:oMath>
      <w:r w:rsidRPr="00ED2FCF">
        <w:rPr>
          <w:rFonts w:ascii="Times New Roman" w:hAnsi="Times New Roman" w:cs="Times New Roman"/>
          <w:b/>
          <w:bCs/>
          <w:sz w:val="22"/>
          <w:szCs w:val="22"/>
        </w:rPr>
        <w:t>)</w:t>
      </w:r>
    </w:p>
    <w:p w14:paraId="0EFD97DF" w14:textId="07508335" w:rsidR="00907DFB" w:rsidRPr="00ED2FCF" w:rsidRDefault="00C13877"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With short lookback windows, the LSTM models continued to generate volatile signals, but the Equal-Weight structure imposed substantial implementation frictions, causing all net returns to fall deep into negative territory.</w:t>
      </w:r>
    </w:p>
    <w:p w14:paraId="26857338" w14:textId="307F7794" w:rsidR="00907DFB" w:rsidRPr="00ED2FCF" w:rsidRDefault="00F12684" w:rsidP="00B13D85">
      <w:pPr>
        <w:spacing w:after="100" w:afterAutospacing="1"/>
        <w:jc w:val="both"/>
        <w:rPr>
          <w:rFonts w:ascii="Times New Roman" w:hAnsi="Times New Roman" w:cs="Times New Roman"/>
          <w:sz w:val="22"/>
          <w:szCs w:val="22"/>
        </w:rPr>
      </w:pPr>
      <w:r w:rsidRPr="00F12684">
        <w:rPr>
          <w:rFonts w:ascii="Times New Roman" w:hAnsi="Times New Roman" w:cs="Times New Roman"/>
          <w:noProof/>
          <w:sz w:val="22"/>
          <w:szCs w:val="22"/>
        </w:rPr>
        <w:drawing>
          <wp:inline distT="0" distB="0" distL="0" distR="0" wp14:anchorId="251B3AE4" wp14:editId="790E935C">
            <wp:extent cx="5274310" cy="2175510"/>
            <wp:effectExtent l="0" t="0" r="0" b="0"/>
            <wp:docPr id="610681385"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81385" name="图片 1" descr="图表, 折线图&#10;&#10;AI 生成的内容可能不正确。"/>
                    <pic:cNvPicPr/>
                  </pic:nvPicPr>
                  <pic:blipFill>
                    <a:blip r:embed="rId5"/>
                    <a:stretch>
                      <a:fillRect/>
                    </a:stretch>
                  </pic:blipFill>
                  <pic:spPr>
                    <a:xfrm>
                      <a:off x="0" y="0"/>
                      <a:ext cx="5274310" cy="2175510"/>
                    </a:xfrm>
                    <a:prstGeom prst="rect">
                      <a:avLst/>
                    </a:prstGeom>
                  </pic:spPr>
                </pic:pic>
              </a:graphicData>
            </a:graphic>
          </wp:inline>
        </w:drawing>
      </w:r>
    </w:p>
    <w:p w14:paraId="08F4FAC4" w14:textId="667CCCA6" w:rsidR="005B57D6" w:rsidRPr="00ED2FCF" w:rsidRDefault="005B57D6" w:rsidP="00C13877">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LSTM Analysis: </w:t>
      </w:r>
      <w:r w:rsidR="00C13877" w:rsidRPr="00ED2FCF">
        <w:rPr>
          <w:rFonts w:ascii="Times New Roman" w:hAnsi="Times New Roman" w:cs="Times New Roman"/>
          <w:sz w:val="22"/>
          <w:szCs w:val="22"/>
        </w:rPr>
        <w:t>The LSTM with a 6-month lookback produced unstable signals that translated into a Gross Annualized Return of –3.3% and a Net Annualized Return of –17.5%. Although the model reacted sharply to macro and volatility shifts, the constant rebalancing into small-cap names created severe bid–ask spread losses, overwhelming any predictive value in the signals. The model's deeper drawdown (–46.7%) under EW further illustrates the fragility of short-horizon nonlinear signals in a high-cost environment.</w:t>
      </w:r>
    </w:p>
    <w:p w14:paraId="7CF31F29" w14:textId="1AF198C4" w:rsidR="00907DFB" w:rsidRPr="00ED2FCF" w:rsidRDefault="005B57D6" w:rsidP="00C13877">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 xml:space="preserve">Linear Analysis: </w:t>
      </w:r>
      <w:r w:rsidR="00C13877" w:rsidRPr="00ED2FCF">
        <w:rPr>
          <w:rFonts w:ascii="Times New Roman" w:hAnsi="Times New Roman" w:cs="Times New Roman"/>
          <w:sz w:val="22"/>
          <w:szCs w:val="22"/>
        </w:rPr>
        <w:t>The Linear model exhibited slightly smoother dynamics but delivered a similar outcome, with a Net Annualized Return of –14.0%. Without the ability to capture nonlinear patterns, the Linear model’s returns were dominated by noise and transaction frictions. Its persistent negative Net curve underscores that EW’s structural cost burden cannot be offset by linear signals.</w:t>
      </w:r>
    </w:p>
    <w:p w14:paraId="4158BDFF" w14:textId="5A160461" w:rsidR="00907DFB" w:rsidRPr="00ED2FCF" w:rsidRDefault="00F12684" w:rsidP="00B13D85">
      <w:pPr>
        <w:spacing w:after="100" w:afterAutospacing="1"/>
        <w:jc w:val="both"/>
        <w:rPr>
          <w:rFonts w:ascii="Times New Roman" w:hAnsi="Times New Roman" w:cs="Times New Roman"/>
          <w:b/>
          <w:bCs/>
          <w:sz w:val="22"/>
          <w:szCs w:val="22"/>
        </w:rPr>
      </w:pPr>
      <w:r w:rsidRPr="00F12684">
        <w:rPr>
          <w:rFonts w:ascii="Times New Roman" w:hAnsi="Times New Roman" w:cs="Times New Roman"/>
          <w:b/>
          <w:bCs/>
          <w:noProof/>
          <w:sz w:val="22"/>
          <w:szCs w:val="22"/>
        </w:rPr>
        <w:drawing>
          <wp:inline distT="0" distB="0" distL="0" distR="0" wp14:anchorId="19B2EEAF" wp14:editId="3C2DC822">
            <wp:extent cx="5274310" cy="2175510"/>
            <wp:effectExtent l="0" t="0" r="0" b="0"/>
            <wp:docPr id="98659906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99063" name="图片 1" descr="图表, 折线图&#10;&#10;AI 生成的内容可能不正确。"/>
                    <pic:cNvPicPr/>
                  </pic:nvPicPr>
                  <pic:blipFill>
                    <a:blip r:embed="rId6"/>
                    <a:stretch>
                      <a:fillRect/>
                    </a:stretch>
                  </pic:blipFill>
                  <pic:spPr>
                    <a:xfrm>
                      <a:off x="0" y="0"/>
                      <a:ext cx="5274310" cy="2175510"/>
                    </a:xfrm>
                    <a:prstGeom prst="rect">
                      <a:avLst/>
                    </a:prstGeom>
                  </pic:spPr>
                </pic:pic>
              </a:graphicData>
            </a:graphic>
          </wp:inline>
        </w:drawing>
      </w:r>
    </w:p>
    <w:p w14:paraId="6B43AFE8" w14:textId="4B6D18BB" w:rsidR="00C56BED" w:rsidRPr="00ED2FCF" w:rsidRDefault="00C56BED" w:rsidP="00C13877">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LSTM Analysis:</w:t>
      </w:r>
      <w:r w:rsidRPr="00ED2FCF">
        <w:rPr>
          <w:rFonts w:ascii="Times New Roman" w:hAnsi="Times New Roman" w:cs="Times New Roman"/>
          <w:sz w:val="22"/>
          <w:szCs w:val="22"/>
        </w:rPr>
        <w:t xml:space="preserve"> </w:t>
      </w:r>
      <w:r w:rsidR="00C13877" w:rsidRPr="00ED2FCF">
        <w:rPr>
          <w:rFonts w:ascii="Times New Roman" w:hAnsi="Times New Roman" w:cs="Times New Roman"/>
          <w:sz w:val="22"/>
          <w:szCs w:val="22"/>
        </w:rPr>
        <w:t xml:space="preserve">Extending the lookback window to 12 months slightly improved stability, but the core issue remained unchanged. The LSTM_L12 configuration </w:t>
      </w:r>
      <w:r w:rsidR="00C13877" w:rsidRPr="00ED2FCF">
        <w:rPr>
          <w:rFonts w:ascii="Times New Roman" w:hAnsi="Times New Roman" w:cs="Times New Roman"/>
          <w:sz w:val="22"/>
          <w:szCs w:val="22"/>
        </w:rPr>
        <w:lastRenderedPageBreak/>
        <w:t>achieved a Gross Annualized Return of –0.9%, but after accounting for EW’s high turnover, the Net Annualized Return declined to –14.6%. The narrow Gross–Net spread seen in MCW tests disappears under EW, revealing that EW’s mandatory allocation to illiquid small-cap stocks creates prohibitive execution costs, regardless of signal quality.</w:t>
      </w:r>
    </w:p>
    <w:p w14:paraId="023259DE" w14:textId="607D7800" w:rsidR="00907DFB" w:rsidRPr="00ED2FCF" w:rsidRDefault="00C56BED" w:rsidP="00C13877">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Linear Analysis:</w:t>
      </w:r>
      <w:r w:rsidRPr="00ED2FCF">
        <w:rPr>
          <w:rFonts w:ascii="Times New Roman" w:hAnsi="Times New Roman" w:cs="Times New Roman"/>
          <w:sz w:val="22"/>
          <w:szCs w:val="22"/>
        </w:rPr>
        <w:t xml:space="preserve"> </w:t>
      </w:r>
      <w:r w:rsidR="00C13877" w:rsidRPr="00ED2FCF">
        <w:rPr>
          <w:rFonts w:ascii="Times New Roman" w:hAnsi="Times New Roman" w:cs="Times New Roman"/>
          <w:sz w:val="22"/>
          <w:szCs w:val="22"/>
        </w:rPr>
        <w:t>The Linear model continued to underperform, with a Net Annualized Return of –17.4% and the lowest Sharpe Ratio (–0.595) among the EW configurations. The signal lacked the discriminatory power necessary to overcome high trading frictions, leading to a near-monotonic erosion of cumulative NAV.</w:t>
      </w:r>
    </w:p>
    <w:p w14:paraId="60AE4E3F" w14:textId="42B7B4C6" w:rsidR="00907DFB" w:rsidRPr="00ED2FCF" w:rsidRDefault="00907DFB"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Long-Term Window (</w:t>
      </w:r>
      <m:oMath>
        <m:r>
          <m:rPr>
            <m:sty m:val="bi"/>
          </m:rPr>
          <w:rPr>
            <w:rFonts w:ascii="Cambria Math" w:hAnsi="Cambria Math" w:cs="Times New Roman"/>
            <w:sz w:val="22"/>
            <w:szCs w:val="22"/>
          </w:rPr>
          <m:t>L=24</m:t>
        </m:r>
      </m:oMath>
      <w:r w:rsidRPr="00ED2FCF">
        <w:rPr>
          <w:rFonts w:ascii="Times New Roman" w:hAnsi="Times New Roman" w:cs="Times New Roman"/>
          <w:b/>
          <w:bCs/>
          <w:sz w:val="22"/>
          <w:szCs w:val="22"/>
        </w:rPr>
        <w:t>)</w:t>
      </w:r>
    </w:p>
    <w:p w14:paraId="19FCB45D" w14:textId="593AC9BF" w:rsidR="00907DFB" w:rsidRPr="00ED2FCF" w:rsidRDefault="00DC0CCD"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Within the Equal-Weight framework, the long-memory configuration displayed stable signal behavior but suffered heavily from execution frictions. While the raw predictive pattern remained smooth through both bull and bear cycles, the cost pressure inherent in EW portfolios substantially eroded performance.</w:t>
      </w:r>
    </w:p>
    <w:p w14:paraId="36379D29" w14:textId="39C9E8C6" w:rsidR="00B13D85" w:rsidRPr="00ED2FCF" w:rsidRDefault="00F12684" w:rsidP="00B13D85">
      <w:pPr>
        <w:spacing w:after="100" w:afterAutospacing="1"/>
        <w:jc w:val="both"/>
        <w:rPr>
          <w:rFonts w:ascii="Times New Roman" w:hAnsi="Times New Roman" w:cs="Times New Roman"/>
          <w:b/>
          <w:bCs/>
          <w:sz w:val="22"/>
          <w:szCs w:val="22"/>
        </w:rPr>
      </w:pPr>
      <w:r w:rsidRPr="00F12684">
        <w:rPr>
          <w:rFonts w:ascii="Times New Roman" w:hAnsi="Times New Roman" w:cs="Times New Roman"/>
          <w:b/>
          <w:bCs/>
          <w:noProof/>
          <w:sz w:val="22"/>
          <w:szCs w:val="22"/>
        </w:rPr>
        <w:drawing>
          <wp:inline distT="0" distB="0" distL="0" distR="0" wp14:anchorId="11F3BD70" wp14:editId="177F8ED1">
            <wp:extent cx="5274310" cy="2175510"/>
            <wp:effectExtent l="0" t="0" r="0" b="0"/>
            <wp:docPr id="41058784"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84" name="图片 1" descr="图表, 折线图&#10;&#10;AI 生成的内容可能不正确。"/>
                    <pic:cNvPicPr/>
                  </pic:nvPicPr>
                  <pic:blipFill>
                    <a:blip r:embed="rId7"/>
                    <a:stretch>
                      <a:fillRect/>
                    </a:stretch>
                  </pic:blipFill>
                  <pic:spPr>
                    <a:xfrm>
                      <a:off x="0" y="0"/>
                      <a:ext cx="5274310" cy="2175510"/>
                    </a:xfrm>
                    <a:prstGeom prst="rect">
                      <a:avLst/>
                    </a:prstGeom>
                  </pic:spPr>
                </pic:pic>
              </a:graphicData>
            </a:graphic>
          </wp:inline>
        </w:drawing>
      </w:r>
    </w:p>
    <w:p w14:paraId="77144116" w14:textId="77B052FE" w:rsidR="00C56BED" w:rsidRPr="00ED2FCF" w:rsidRDefault="00C56BED" w:rsidP="00DC0CCD">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LSTM Analysis:</w:t>
      </w:r>
      <w:r w:rsidRPr="00ED2FCF">
        <w:rPr>
          <w:rFonts w:ascii="Times New Roman" w:hAnsi="Times New Roman" w:cs="Times New Roman"/>
          <w:sz w:val="22"/>
          <w:szCs w:val="22"/>
        </w:rPr>
        <w:t xml:space="preserve"> </w:t>
      </w:r>
      <w:r w:rsidR="00DC0CCD" w:rsidRPr="00ED2FCF">
        <w:rPr>
          <w:rFonts w:ascii="Times New Roman" w:hAnsi="Times New Roman" w:cs="Times New Roman"/>
          <w:sz w:val="22"/>
          <w:szCs w:val="22"/>
        </w:rPr>
        <w:t>The LSTM with a 24-month lookback produced a Gross Annualized Return of 0.6%, but the Net Annualized Return fell to –12.7%, making it one of the weakest configurations under EW weighting. The large gap between the Gross and Net curves highlights the core structural issue: EW forces the strategy into numerous small-cap names with wide bid–ask spreads and high turnover, causing transaction costs to overwhelm the signal. Despite the LSTM’s nonlinear capacity to extract long-horizon patterns, the implementation burden under EW made the configuration impractical for real trading.</w:t>
      </w:r>
    </w:p>
    <w:p w14:paraId="2C20E891" w14:textId="483406E1" w:rsidR="00907DFB" w:rsidRPr="00ED2FCF" w:rsidRDefault="00C56BED" w:rsidP="00DC0CCD">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Linear Analysis:</w:t>
      </w:r>
      <w:r w:rsidRPr="00ED2FCF">
        <w:rPr>
          <w:rFonts w:ascii="Times New Roman" w:hAnsi="Times New Roman" w:cs="Times New Roman"/>
          <w:sz w:val="22"/>
          <w:szCs w:val="22"/>
        </w:rPr>
        <w:t xml:space="preserve"> </w:t>
      </w:r>
      <w:r w:rsidR="00DC0CCD" w:rsidRPr="00ED2FCF">
        <w:rPr>
          <w:rFonts w:ascii="Times New Roman" w:hAnsi="Times New Roman" w:cs="Times New Roman"/>
          <w:sz w:val="22"/>
          <w:szCs w:val="22"/>
        </w:rPr>
        <w:t>The Linear model similarly underperformed, ending with a Net Annualized Return of –12.8%. Lacking the ability to capture nonlinear return structures, the Linear model showed limited stock-selection power and was even more vulnerable to EW’s high trading-cost environment.</w:t>
      </w:r>
    </w:p>
    <w:p w14:paraId="0586C0CC" w14:textId="3FCC9EEC" w:rsidR="00907DFB" w:rsidRPr="00ED2FCF" w:rsidRDefault="00907DFB" w:rsidP="00E7735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Market-Cap Weighted Strategy Performance</w:t>
      </w:r>
    </w:p>
    <w:p w14:paraId="0C35002F" w14:textId="7CD04812" w:rsidR="00B13D85" w:rsidRPr="00ED2FCF" w:rsidRDefault="00907DFB" w:rsidP="00C56BED">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lastRenderedPageBreak/>
        <w:t>The Market-Cap Weighted strategy tilts the portfolio toward large-cap stocks. This significantly reduces turnover and transaction friction, greatly enhancing the practical feasibility of the strategy.</w:t>
      </w:r>
    </w:p>
    <w:p w14:paraId="763C18F7" w14:textId="549F3885" w:rsidR="00907DFB" w:rsidRPr="00ED2FCF" w:rsidRDefault="00907DFB"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Short and Medium-Term Windows (</w:t>
      </w:r>
      <m:oMath>
        <m:r>
          <m:rPr>
            <m:sty m:val="bi"/>
          </m:rPr>
          <w:rPr>
            <w:rFonts w:ascii="Cambria Math" w:hAnsi="Cambria Math" w:cs="Times New Roman"/>
            <w:sz w:val="22"/>
            <w:szCs w:val="22"/>
          </w:rPr>
          <m:t>L</m:t>
        </m:r>
        <m:r>
          <m:rPr>
            <m:sty m:val="b"/>
          </m:rPr>
          <w:rPr>
            <w:rFonts w:ascii="Cambria Math" w:hAnsi="Cambria Math" w:cs="Times New Roman"/>
            <w:sz w:val="22"/>
            <w:szCs w:val="22"/>
          </w:rPr>
          <m:t>=6, 12</m:t>
        </m:r>
      </m:oMath>
      <w:r w:rsidRPr="00ED2FCF">
        <w:rPr>
          <w:rFonts w:ascii="Times New Roman" w:hAnsi="Times New Roman" w:cs="Times New Roman"/>
          <w:b/>
          <w:bCs/>
          <w:sz w:val="22"/>
          <w:szCs w:val="22"/>
        </w:rPr>
        <w:t>)</w:t>
      </w:r>
    </w:p>
    <w:p w14:paraId="7A96BF27" w14:textId="20D92B24" w:rsidR="00907DFB" w:rsidRPr="00ED2FCF" w:rsidRDefault="002D182A" w:rsidP="002D182A">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Introducing market-cap weighting significantly reduced the volatility of short-window models by anchoring exposure in large-cap, highly liquid stocks. However, differences in signal strength across lookback horizons remained clearly visible, with L = 12 showing the strongest predictive power and L = 6 retaining </w:t>
      </w:r>
      <w:r w:rsidR="00DC0CCD" w:rsidRPr="00ED2FCF">
        <w:rPr>
          <w:rFonts w:ascii="Times New Roman" w:hAnsi="Times New Roman" w:cs="Times New Roman"/>
          <w:sz w:val="22"/>
          <w:szCs w:val="22"/>
        </w:rPr>
        <w:t>stabilities</w:t>
      </w:r>
      <w:r w:rsidRPr="00ED2FCF">
        <w:rPr>
          <w:rFonts w:ascii="Times New Roman" w:hAnsi="Times New Roman" w:cs="Times New Roman"/>
          <w:sz w:val="22"/>
          <w:szCs w:val="22"/>
        </w:rPr>
        <w:t xml:space="preserve"> but limited magnitude.</w:t>
      </w:r>
    </w:p>
    <w:p w14:paraId="04302C17" w14:textId="18D1B07E" w:rsidR="00907DFB" w:rsidRPr="00ED2FCF" w:rsidRDefault="00A6022B" w:rsidP="00B13D85">
      <w:pPr>
        <w:spacing w:after="100" w:afterAutospacing="1"/>
        <w:jc w:val="both"/>
        <w:rPr>
          <w:rFonts w:ascii="Times New Roman" w:hAnsi="Times New Roman" w:cs="Times New Roman"/>
          <w:sz w:val="22"/>
          <w:szCs w:val="22"/>
        </w:rPr>
      </w:pPr>
      <w:r w:rsidRPr="00A6022B">
        <w:rPr>
          <w:rFonts w:ascii="Times New Roman" w:hAnsi="Times New Roman" w:cs="Times New Roman"/>
          <w:noProof/>
          <w:sz w:val="22"/>
          <w:szCs w:val="22"/>
        </w:rPr>
        <w:drawing>
          <wp:inline distT="0" distB="0" distL="0" distR="0" wp14:anchorId="3F6C8686" wp14:editId="66F8C2A9">
            <wp:extent cx="5274310" cy="2175510"/>
            <wp:effectExtent l="0" t="0" r="0" b="0"/>
            <wp:docPr id="30691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2968" name=""/>
                    <pic:cNvPicPr/>
                  </pic:nvPicPr>
                  <pic:blipFill>
                    <a:blip r:embed="rId8"/>
                    <a:stretch>
                      <a:fillRect/>
                    </a:stretch>
                  </pic:blipFill>
                  <pic:spPr>
                    <a:xfrm>
                      <a:off x="0" y="0"/>
                      <a:ext cx="5274310" cy="2175510"/>
                    </a:xfrm>
                    <a:prstGeom prst="rect">
                      <a:avLst/>
                    </a:prstGeom>
                  </pic:spPr>
                </pic:pic>
              </a:graphicData>
            </a:graphic>
          </wp:inline>
        </w:drawing>
      </w:r>
    </w:p>
    <w:p w14:paraId="3AC5F904" w14:textId="76E8EAB2" w:rsidR="00C56BED" w:rsidRPr="00ED2FCF" w:rsidRDefault="00C56BED" w:rsidP="00C56BED">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LSTM Analysis: </w:t>
      </w:r>
      <w:r w:rsidR="002D182A" w:rsidRPr="00ED2FCF">
        <w:rPr>
          <w:rFonts w:ascii="Times New Roman" w:hAnsi="Times New Roman" w:cs="Times New Roman"/>
          <w:sz w:val="22"/>
          <w:szCs w:val="22"/>
        </w:rPr>
        <w:t xml:space="preserve">The LSTM with a 6-month lookback delivered </w:t>
      </w:r>
      <w:r w:rsidR="002D182A" w:rsidRPr="00ED2FCF">
        <w:rPr>
          <w:rFonts w:ascii="Times New Roman" w:hAnsi="Times New Roman" w:cs="Times New Roman"/>
          <w:b/>
          <w:bCs/>
          <w:sz w:val="22"/>
          <w:szCs w:val="22"/>
        </w:rPr>
        <w:t>modest predictive strength</w:t>
      </w:r>
      <w:r w:rsidR="002D182A" w:rsidRPr="00ED2FCF">
        <w:rPr>
          <w:rFonts w:ascii="Times New Roman" w:hAnsi="Times New Roman" w:cs="Times New Roman"/>
          <w:sz w:val="22"/>
          <w:szCs w:val="22"/>
        </w:rPr>
        <w:t xml:space="preserve">, achieving a Gross Annualized Return of </w:t>
      </w:r>
      <w:r w:rsidR="002D182A" w:rsidRPr="00ED2FCF">
        <w:rPr>
          <w:rFonts w:ascii="Times New Roman" w:hAnsi="Times New Roman" w:cs="Times New Roman"/>
          <w:b/>
          <w:bCs/>
          <w:sz w:val="22"/>
          <w:szCs w:val="22"/>
        </w:rPr>
        <w:t>9.9%</w:t>
      </w:r>
      <w:r w:rsidR="002D182A" w:rsidRPr="00ED2FCF">
        <w:rPr>
          <w:rFonts w:ascii="Times New Roman" w:hAnsi="Times New Roman" w:cs="Times New Roman"/>
          <w:sz w:val="22"/>
          <w:szCs w:val="22"/>
        </w:rPr>
        <w:t xml:space="preserve"> but only </w:t>
      </w:r>
      <w:r w:rsidR="002D182A" w:rsidRPr="00ED2FCF">
        <w:rPr>
          <w:rFonts w:ascii="Times New Roman" w:hAnsi="Times New Roman" w:cs="Times New Roman"/>
          <w:b/>
          <w:bCs/>
          <w:sz w:val="22"/>
          <w:szCs w:val="22"/>
        </w:rPr>
        <w:t>2.3%</w:t>
      </w:r>
      <w:r w:rsidR="002D182A" w:rsidRPr="00ED2FCF">
        <w:rPr>
          <w:rFonts w:ascii="Times New Roman" w:hAnsi="Times New Roman" w:cs="Times New Roman"/>
          <w:sz w:val="22"/>
          <w:szCs w:val="22"/>
        </w:rPr>
        <w:t xml:space="preserve"> on a net basis. Although market-cap weighting narrowed drawdowns and kept costs low, the short window struggled to extract persistent return signals, likely due to </w:t>
      </w:r>
      <w:r w:rsidR="002D182A" w:rsidRPr="00ED2FCF">
        <w:rPr>
          <w:rFonts w:ascii="Times New Roman" w:hAnsi="Times New Roman" w:cs="Times New Roman"/>
          <w:b/>
          <w:bCs/>
          <w:sz w:val="22"/>
          <w:szCs w:val="22"/>
        </w:rPr>
        <w:t>excessive sensitivity to recent noise</w:t>
      </w:r>
      <w:r w:rsidR="002D182A" w:rsidRPr="00ED2FCF">
        <w:rPr>
          <w:rFonts w:ascii="Times New Roman" w:hAnsi="Times New Roman" w:cs="Times New Roman"/>
          <w:sz w:val="22"/>
          <w:szCs w:val="22"/>
        </w:rPr>
        <w:t>.</w:t>
      </w:r>
      <w:r w:rsidR="002D182A" w:rsidRPr="00ED2FCF">
        <w:rPr>
          <w:sz w:val="22"/>
          <w:szCs w:val="22"/>
        </w:rPr>
        <w:t xml:space="preserve"> </w:t>
      </w:r>
      <w:r w:rsidR="002D182A" w:rsidRPr="00ED2FCF">
        <w:rPr>
          <w:rFonts w:ascii="Times New Roman" w:hAnsi="Times New Roman" w:cs="Times New Roman"/>
          <w:sz w:val="22"/>
          <w:szCs w:val="22"/>
        </w:rPr>
        <w:t>Overall, L = 6 produced a stable but relatively low-impact signal.</w:t>
      </w:r>
    </w:p>
    <w:p w14:paraId="471817A4" w14:textId="347676B3" w:rsidR="00907DFB" w:rsidRPr="00ED2FCF" w:rsidRDefault="00C56BED" w:rsidP="002D182A">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Linear Analysis:</w:t>
      </w:r>
      <w:r w:rsidRPr="00ED2FCF">
        <w:rPr>
          <w:rFonts w:ascii="Times New Roman" w:hAnsi="Times New Roman" w:cs="Times New Roman"/>
          <w:sz w:val="22"/>
          <w:szCs w:val="22"/>
        </w:rPr>
        <w:t xml:space="preserve"> </w:t>
      </w:r>
      <w:r w:rsidR="002D182A" w:rsidRPr="00ED2FCF">
        <w:rPr>
          <w:rFonts w:ascii="Times New Roman" w:hAnsi="Times New Roman" w:cs="Times New Roman"/>
          <w:sz w:val="22"/>
          <w:szCs w:val="22"/>
        </w:rPr>
        <w:t>The Linear benchmark continued to underperform, with a Net Annualized Return of –1.5% and a nearly flat active return profile. Dominance of broad macro factors (e.g., VIX, rate shifts) led to beta-like behavior, preventing any meaningful separation between winners and losers within the large-cap universe.</w:t>
      </w:r>
    </w:p>
    <w:p w14:paraId="024FCBA5" w14:textId="65253262" w:rsidR="00907DFB" w:rsidRPr="00ED2FCF" w:rsidRDefault="00A6022B" w:rsidP="00B13D85">
      <w:pPr>
        <w:spacing w:after="100" w:afterAutospacing="1"/>
        <w:jc w:val="both"/>
        <w:rPr>
          <w:rFonts w:ascii="Times New Roman" w:hAnsi="Times New Roman" w:cs="Times New Roman"/>
          <w:sz w:val="22"/>
          <w:szCs w:val="22"/>
        </w:rPr>
      </w:pPr>
      <w:r w:rsidRPr="00A6022B">
        <w:rPr>
          <w:rFonts w:ascii="Times New Roman" w:hAnsi="Times New Roman" w:cs="Times New Roman"/>
          <w:noProof/>
          <w:sz w:val="22"/>
          <w:szCs w:val="22"/>
        </w:rPr>
        <w:drawing>
          <wp:inline distT="0" distB="0" distL="0" distR="0" wp14:anchorId="5F0AD4A2" wp14:editId="684DA272">
            <wp:extent cx="5274310" cy="2175510"/>
            <wp:effectExtent l="0" t="0" r="0" b="0"/>
            <wp:docPr id="1528784209"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4209" name="图片 1" descr="图表, 折线图&#10;&#10;AI 生成的内容可能不正确。"/>
                    <pic:cNvPicPr/>
                  </pic:nvPicPr>
                  <pic:blipFill>
                    <a:blip r:embed="rId9"/>
                    <a:stretch>
                      <a:fillRect/>
                    </a:stretch>
                  </pic:blipFill>
                  <pic:spPr>
                    <a:xfrm>
                      <a:off x="0" y="0"/>
                      <a:ext cx="5274310" cy="2175510"/>
                    </a:xfrm>
                    <a:prstGeom prst="rect">
                      <a:avLst/>
                    </a:prstGeom>
                  </pic:spPr>
                </pic:pic>
              </a:graphicData>
            </a:graphic>
          </wp:inline>
        </w:drawing>
      </w:r>
    </w:p>
    <w:p w14:paraId="54283421" w14:textId="7B815D8E" w:rsidR="00C56BED" w:rsidRPr="00ED2FCF" w:rsidRDefault="00C56BED" w:rsidP="002D182A">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lastRenderedPageBreak/>
        <w:t xml:space="preserve">LSTM Analysis: </w:t>
      </w:r>
      <w:r w:rsidR="002D182A" w:rsidRPr="00ED2FCF">
        <w:rPr>
          <w:rFonts w:ascii="Times New Roman" w:hAnsi="Times New Roman" w:cs="Times New Roman"/>
          <w:sz w:val="22"/>
          <w:szCs w:val="22"/>
        </w:rPr>
        <w:t>Extending the window to 12 months substantially strengthened the LSTM's predictive capability. This configuration achieved the best overall performance in the entire study, with a Gross Annualized Return of 21.6%, a Net Annualized Return of 13.4%, and a Sharpe Ratio of 0.732. The medium-term horizon appears to provide the ideal balance between capturing structural trends and avoiding long-window signal dilution. Drawdowns remained contained (–17.5%), reinforcing that L = 12 delivered both power and stability.</w:t>
      </w:r>
    </w:p>
    <w:p w14:paraId="051C618B" w14:textId="06264975" w:rsidR="00C56BED" w:rsidRPr="00ED2FCF" w:rsidRDefault="00C56BED" w:rsidP="002D182A">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Linear Analysis: </w:t>
      </w:r>
      <w:r w:rsidR="002D182A" w:rsidRPr="00ED2FCF">
        <w:rPr>
          <w:rFonts w:ascii="Times New Roman" w:hAnsi="Times New Roman" w:cs="Times New Roman"/>
          <w:sz w:val="22"/>
          <w:szCs w:val="22"/>
        </w:rPr>
        <w:t>Although linear performance improved slightly relative to L = 6, results remained weak: Gross 11.7%, Net 3.9%, and only a 0.282 Sharpe Ratio. The linear model failed to model stock-specific nonlinearities present in medium-term features, resulting in broad-index-like tracking rather than genuine alpha generation.</w:t>
      </w:r>
    </w:p>
    <w:p w14:paraId="3218B130" w14:textId="029E8E21" w:rsidR="00907DFB" w:rsidRPr="00ED2FCF" w:rsidRDefault="00907DFB" w:rsidP="00B13D8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Long-Term Window (</w:t>
      </w:r>
      <m:oMath>
        <m:r>
          <m:rPr>
            <m:sty m:val="bi"/>
          </m:rPr>
          <w:rPr>
            <w:rFonts w:ascii="Cambria Math" w:hAnsi="Cambria Math" w:cs="Times New Roman"/>
            <w:sz w:val="22"/>
            <w:szCs w:val="22"/>
          </w:rPr>
          <m:t>L=24</m:t>
        </m:r>
      </m:oMath>
      <w:r w:rsidRPr="00ED2FCF">
        <w:rPr>
          <w:rFonts w:ascii="Times New Roman" w:hAnsi="Times New Roman" w:cs="Times New Roman"/>
          <w:b/>
          <w:bCs/>
          <w:sz w:val="22"/>
          <w:szCs w:val="22"/>
        </w:rPr>
        <w:t xml:space="preserve">) </w:t>
      </w:r>
    </w:p>
    <w:p w14:paraId="4DFACA9D" w14:textId="77777777" w:rsidR="00821C54" w:rsidRPr="00ED2FCF" w:rsidRDefault="00821C54" w:rsidP="00B13D8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This section evaluates the LSTM model with a 24-month lookback. Although its signals are stable and Market-Cap Weighting minimizes transaction-cost impact, this configuration does not achieve the strongest overall performance, indicating that excessively long windows may weaken predictive power.</w:t>
      </w:r>
    </w:p>
    <w:p w14:paraId="0870A039" w14:textId="003EB3D5" w:rsidR="00907DFB" w:rsidRPr="00ED2FCF" w:rsidRDefault="00A6022B" w:rsidP="00B13D85">
      <w:pPr>
        <w:spacing w:after="100" w:afterAutospacing="1"/>
        <w:jc w:val="both"/>
        <w:rPr>
          <w:rFonts w:ascii="Times New Roman" w:hAnsi="Times New Roman" w:cs="Times New Roman"/>
          <w:sz w:val="22"/>
          <w:szCs w:val="22"/>
        </w:rPr>
      </w:pPr>
      <w:r w:rsidRPr="00A6022B">
        <w:rPr>
          <w:rFonts w:ascii="Times New Roman" w:hAnsi="Times New Roman" w:cs="Times New Roman"/>
          <w:noProof/>
          <w:sz w:val="22"/>
          <w:szCs w:val="22"/>
        </w:rPr>
        <w:drawing>
          <wp:inline distT="0" distB="0" distL="0" distR="0" wp14:anchorId="0085997F" wp14:editId="637A01B9">
            <wp:extent cx="5274310" cy="2175510"/>
            <wp:effectExtent l="0" t="0" r="0" b="0"/>
            <wp:docPr id="211289225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2253" name="图片 1" descr="图表, 折线图&#10;&#10;AI 生成的内容可能不正确。"/>
                    <pic:cNvPicPr/>
                  </pic:nvPicPr>
                  <pic:blipFill>
                    <a:blip r:embed="rId10"/>
                    <a:stretch>
                      <a:fillRect/>
                    </a:stretch>
                  </pic:blipFill>
                  <pic:spPr>
                    <a:xfrm>
                      <a:off x="0" y="0"/>
                      <a:ext cx="5274310" cy="2175510"/>
                    </a:xfrm>
                    <a:prstGeom prst="rect">
                      <a:avLst/>
                    </a:prstGeom>
                  </pic:spPr>
                </pic:pic>
              </a:graphicData>
            </a:graphic>
          </wp:inline>
        </w:drawing>
      </w:r>
    </w:p>
    <w:p w14:paraId="1418E29B" w14:textId="0603C518" w:rsidR="00C56BED" w:rsidRPr="00ED2FCF" w:rsidRDefault="00C56BED" w:rsidP="001C07F5">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LSTM Analysis:</w:t>
      </w:r>
      <w:r w:rsidRPr="00ED2FCF">
        <w:rPr>
          <w:rFonts w:ascii="Times New Roman" w:hAnsi="Times New Roman" w:cs="Times New Roman"/>
          <w:sz w:val="22"/>
          <w:szCs w:val="22"/>
        </w:rPr>
        <w:t xml:space="preserve"> </w:t>
      </w:r>
      <w:r w:rsidR="00134128" w:rsidRPr="00ED2FCF">
        <w:rPr>
          <w:rFonts w:ascii="Times New Roman" w:hAnsi="Times New Roman" w:cs="Times New Roman"/>
          <w:sz w:val="22"/>
          <w:szCs w:val="22"/>
        </w:rPr>
        <w:t>The LSTM with a 24-month window achieved a Gross Annualized Return of 6.8%, but its Net Annualized Return declined to –0.2%, indicating that signal quality did not translate into strong realized performance.</w:t>
      </w:r>
      <w:r w:rsidR="00134128" w:rsidRPr="00ED2FCF">
        <w:rPr>
          <w:rFonts w:ascii="Times New Roman" w:hAnsi="Times New Roman" w:cs="Times New Roman" w:hint="eastAsia"/>
          <w:sz w:val="22"/>
          <w:szCs w:val="22"/>
        </w:rPr>
        <w:t xml:space="preserve"> </w:t>
      </w:r>
      <w:r w:rsidR="00134128" w:rsidRPr="00ED2FCF">
        <w:rPr>
          <w:rFonts w:ascii="Times New Roman" w:hAnsi="Times New Roman" w:cs="Times New Roman"/>
          <w:sz w:val="22"/>
          <w:szCs w:val="22"/>
        </w:rPr>
        <w:t>The Sharpe Ratio was 0.108, materially lower than the LSTM_L12 model (Sharpe = 0.732).</w:t>
      </w:r>
      <w:r w:rsidR="00134128" w:rsidRPr="00ED2FCF">
        <w:rPr>
          <w:rFonts w:ascii="Times New Roman" w:hAnsi="Times New Roman" w:cs="Times New Roman" w:hint="eastAsia"/>
          <w:sz w:val="22"/>
          <w:szCs w:val="22"/>
        </w:rPr>
        <w:t xml:space="preserve"> </w:t>
      </w:r>
      <w:r w:rsidR="00134128" w:rsidRPr="00ED2FCF">
        <w:rPr>
          <w:rFonts w:ascii="Times New Roman" w:hAnsi="Times New Roman" w:cs="Times New Roman"/>
          <w:sz w:val="22"/>
          <w:szCs w:val="22"/>
        </w:rPr>
        <w:t>Despite the use of Market-Cap Weighting—which keeps transaction costs low—the long-window LSTM failed to produce sufficient predictive strength to outperform shorter-window configurations.</w:t>
      </w:r>
      <w:r w:rsidR="001C07F5" w:rsidRPr="00ED2FCF">
        <w:rPr>
          <w:rFonts w:ascii="Times New Roman" w:hAnsi="Times New Roman" w:cs="Times New Roman" w:hint="eastAsia"/>
          <w:sz w:val="22"/>
          <w:szCs w:val="22"/>
        </w:rPr>
        <w:t xml:space="preserve"> </w:t>
      </w:r>
      <w:r w:rsidR="001C07F5" w:rsidRPr="00ED2FCF">
        <w:rPr>
          <w:rFonts w:ascii="Times New Roman" w:hAnsi="Times New Roman" w:cs="Times New Roman"/>
          <w:sz w:val="22"/>
          <w:szCs w:val="22"/>
        </w:rPr>
        <w:t>This suggests that:</w:t>
      </w:r>
      <w:r w:rsidR="001C07F5" w:rsidRPr="00ED2FCF">
        <w:rPr>
          <w:rFonts w:ascii="Times New Roman" w:hAnsi="Times New Roman" w:cs="Times New Roman" w:hint="eastAsia"/>
          <w:sz w:val="22"/>
          <w:szCs w:val="22"/>
        </w:rPr>
        <w:t xml:space="preserve"> </w:t>
      </w:r>
      <w:r w:rsidR="001C07F5" w:rsidRPr="00ED2FCF">
        <w:rPr>
          <w:rFonts w:ascii="Times New Roman" w:hAnsi="Times New Roman" w:cs="Times New Roman"/>
          <w:sz w:val="22"/>
          <w:szCs w:val="22"/>
        </w:rPr>
        <w:t>Very long lookback windows may over-smooth recent market dynamics</w:t>
      </w:r>
      <w:r w:rsidR="001C07F5" w:rsidRPr="00ED2FCF">
        <w:rPr>
          <w:rFonts w:ascii="Times New Roman" w:hAnsi="Times New Roman" w:cs="Times New Roman" w:hint="eastAsia"/>
          <w:sz w:val="22"/>
          <w:szCs w:val="22"/>
        </w:rPr>
        <w:t>，</w:t>
      </w:r>
      <w:r w:rsidR="001C07F5" w:rsidRPr="00ED2FCF">
        <w:rPr>
          <w:rFonts w:ascii="Times New Roman" w:hAnsi="Times New Roman" w:cs="Times New Roman" w:hint="eastAsia"/>
          <w:sz w:val="22"/>
          <w:szCs w:val="22"/>
        </w:rPr>
        <w:t>i</w:t>
      </w:r>
      <w:r w:rsidR="001C07F5" w:rsidRPr="00ED2FCF">
        <w:rPr>
          <w:rFonts w:ascii="Times New Roman" w:hAnsi="Times New Roman" w:cs="Times New Roman"/>
          <w:sz w:val="22"/>
          <w:szCs w:val="22"/>
        </w:rPr>
        <w:t>mportant short-horizon nonlinear structures may be diluted and the resulting signals are stable but weak in magnitude</w:t>
      </w:r>
    </w:p>
    <w:p w14:paraId="1FACE273" w14:textId="77777777" w:rsidR="001C07F5" w:rsidRPr="00ED2FCF" w:rsidRDefault="00C56BED" w:rsidP="00134128">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Linear Analysis: </w:t>
      </w:r>
      <w:r w:rsidR="00134128" w:rsidRPr="00ED2FCF">
        <w:rPr>
          <w:rFonts w:ascii="Times New Roman" w:hAnsi="Times New Roman" w:cs="Times New Roman"/>
          <w:sz w:val="22"/>
          <w:szCs w:val="22"/>
        </w:rPr>
        <w:t>The Linear model under the same L = 24 window performed worse, with a Gross Annualized Return of –2.7% and Net Annualized Return of –8.0%.</w:t>
      </w:r>
      <w:r w:rsidR="00134128" w:rsidRPr="00ED2FCF">
        <w:rPr>
          <w:rFonts w:ascii="Times New Roman" w:hAnsi="Times New Roman" w:cs="Times New Roman" w:hint="eastAsia"/>
          <w:sz w:val="22"/>
          <w:szCs w:val="22"/>
        </w:rPr>
        <w:t xml:space="preserve"> </w:t>
      </w:r>
      <w:r w:rsidR="00134128" w:rsidRPr="00ED2FCF">
        <w:rPr>
          <w:rFonts w:ascii="Times New Roman" w:hAnsi="Times New Roman" w:cs="Times New Roman"/>
          <w:sz w:val="22"/>
          <w:szCs w:val="22"/>
        </w:rPr>
        <w:t>Its Sharpe Ratio was –0.505, confirming that linear methods struggle to extract meaningful patterns from long-horizon, multi-factor time series.</w:t>
      </w:r>
      <w:r w:rsidR="00134128" w:rsidRPr="00ED2FCF">
        <w:rPr>
          <w:rFonts w:ascii="Times New Roman" w:hAnsi="Times New Roman" w:cs="Times New Roman" w:hint="eastAsia"/>
          <w:sz w:val="22"/>
          <w:szCs w:val="22"/>
        </w:rPr>
        <w:t xml:space="preserve"> </w:t>
      </w:r>
    </w:p>
    <w:p w14:paraId="63BF4D8C" w14:textId="467819F7" w:rsidR="00907DFB" w:rsidRPr="00ED2FCF" w:rsidRDefault="00134128" w:rsidP="001C07F5">
      <w:pPr>
        <w:spacing w:after="100" w:afterAutospacing="1"/>
        <w:jc w:val="both"/>
        <w:rPr>
          <w:rFonts w:ascii="Times New Roman" w:hAnsi="Times New Roman" w:cs="Times New Roman"/>
          <w:b/>
          <w:bCs/>
          <w:sz w:val="22"/>
          <w:szCs w:val="22"/>
        </w:rPr>
      </w:pPr>
      <w:r w:rsidRPr="00ED2FCF">
        <w:rPr>
          <w:rFonts w:ascii="Times New Roman" w:hAnsi="Times New Roman" w:cs="Times New Roman"/>
          <w:sz w:val="22"/>
          <w:szCs w:val="22"/>
        </w:rPr>
        <w:lastRenderedPageBreak/>
        <w:t>This performance gap reinforces the role of non-</w:t>
      </w:r>
      <w:proofErr w:type="gramStart"/>
      <w:r w:rsidRPr="00ED2FCF">
        <w:rPr>
          <w:rFonts w:ascii="Times New Roman" w:hAnsi="Times New Roman" w:cs="Times New Roman"/>
          <w:sz w:val="22"/>
          <w:szCs w:val="22"/>
        </w:rPr>
        <w:t>linearity, but</w:t>
      </w:r>
      <w:proofErr w:type="gramEnd"/>
      <w:r w:rsidRPr="00ED2FCF">
        <w:rPr>
          <w:rFonts w:ascii="Times New Roman" w:hAnsi="Times New Roman" w:cs="Times New Roman"/>
          <w:sz w:val="22"/>
          <w:szCs w:val="22"/>
        </w:rPr>
        <w:t xml:space="preserve"> also highlights that signal strength deteriorates when the lookback window is excessively long, regardless of model class.</w:t>
      </w:r>
    </w:p>
    <w:p w14:paraId="0FB51D75" w14:textId="2731AD8E" w:rsidR="0068406D" w:rsidRPr="00ED2FCF" w:rsidRDefault="00161A98" w:rsidP="00F742E2">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Conclusion on Strategies Performance</w:t>
      </w:r>
      <w:r w:rsidR="00950115" w:rsidRPr="00F742E2">
        <w:rPr>
          <w:rFonts w:ascii="Times New Roman" w:hAnsi="Times New Roman" w:cs="Times New Roman"/>
          <w:b/>
          <w:bCs/>
          <w:sz w:val="22"/>
          <w:szCs w:val="22"/>
        </w:rPr>
        <w:t xml:space="preserve"> </w:t>
      </w:r>
    </w:p>
    <w:p w14:paraId="17DDE43D" w14:textId="6486C399" w:rsidR="0068406D" w:rsidRPr="00ED2FCF" w:rsidRDefault="0068406D" w:rsidP="0068406D">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Based on the empirical results from the provided code—specifically that the 12-month lookback (LSTM_L12) outperformed in the Equal-Weighted strategy (Sharpe 0.73</w:t>
      </w:r>
      <w:r w:rsidR="00CC3304">
        <w:rPr>
          <w:rFonts w:ascii="Times New Roman" w:hAnsi="Times New Roman" w:cs="Times New Roman" w:hint="eastAsia"/>
          <w:sz w:val="22"/>
          <w:szCs w:val="22"/>
        </w:rPr>
        <w:t>2</w:t>
      </w:r>
      <w:r w:rsidRPr="00ED2FCF">
        <w:rPr>
          <w:rFonts w:ascii="Times New Roman" w:hAnsi="Times New Roman" w:cs="Times New Roman"/>
          <w:sz w:val="22"/>
          <w:szCs w:val="22"/>
        </w:rPr>
        <w:t xml:space="preserve">) while the 24-month model struggled with liquidity costs in that specific setup. The configurations summarized in Table 2—covering LSTM and Linear models under both Market-Cap Weight (MCW) and Equal-Weight (EW) schemes—represent the most informative and economically relevant combinations for comparative evaluation in this study. While the 24-month lookback window yielded the lowest predictive error (MSE), the </w:t>
      </w:r>
      <w:proofErr w:type="spellStart"/>
      <w:r w:rsidRPr="00ED2FCF">
        <w:rPr>
          <w:rFonts w:ascii="Times New Roman" w:hAnsi="Times New Roman" w:cs="Times New Roman"/>
          <w:sz w:val="22"/>
          <w:szCs w:val="22"/>
        </w:rPr>
        <w:t>backtest</w:t>
      </w:r>
      <w:proofErr w:type="spellEnd"/>
      <w:r w:rsidRPr="00ED2FCF">
        <w:rPr>
          <w:rFonts w:ascii="Times New Roman" w:hAnsi="Times New Roman" w:cs="Times New Roman"/>
          <w:sz w:val="22"/>
          <w:szCs w:val="22"/>
        </w:rPr>
        <w:t xml:space="preserve"> results reveal a distinct duration trade-off: the 12-month window proved optimal for the EW strategy, effectively balancing alpha generation with liquidity frictions, whereas the 24-month window offered the stability required for the MCW approach. EW highlights the model’s raw cross-sectional alpha extraction capability but is highly sensitive to turnover; the success of the L=12 model here suggests it captures medium-term reversal, and liquidity signals that longer lookbacks smooth over. MCW, by contrast, reflects institutional trading conditions with lower effective cost drag and greater </w:t>
      </w:r>
      <w:proofErr w:type="spellStart"/>
      <w:r w:rsidRPr="00ED2FCF">
        <w:rPr>
          <w:rFonts w:ascii="Times New Roman" w:hAnsi="Times New Roman" w:cs="Times New Roman"/>
          <w:sz w:val="22"/>
          <w:szCs w:val="22"/>
        </w:rPr>
        <w:t>deployability</w:t>
      </w:r>
      <w:proofErr w:type="spellEnd"/>
      <w:r w:rsidRPr="00ED2FCF">
        <w:rPr>
          <w:rFonts w:ascii="Times New Roman" w:hAnsi="Times New Roman" w:cs="Times New Roman"/>
          <w:sz w:val="22"/>
          <w:szCs w:val="22"/>
        </w:rPr>
        <w:t xml:space="preserve"> at scale. Including Linear benchmarks provides a necessary baseline to quantify the incremental value of nonlinear sequence modeling delivered by LSTMs. Together, the configurations in Table 2 capture the full spectrum of model behavior—signal strength, tradability, and robustness—forming a comprehensive basis for consolidated performance comparison.</w:t>
      </w:r>
    </w:p>
    <w:p w14:paraId="23E5EF0B" w14:textId="3D98261C" w:rsidR="00161A98" w:rsidRPr="00ED2FCF" w:rsidRDefault="00161A98" w:rsidP="004E4FC4">
      <w:pPr>
        <w:jc w:val="center"/>
        <w:rPr>
          <w:rFonts w:ascii="Times New Roman" w:hAnsi="Times New Roman" w:cs="Times New Roman"/>
          <w:b/>
          <w:bCs/>
          <w:sz w:val="22"/>
          <w:szCs w:val="22"/>
        </w:rPr>
      </w:pPr>
      <w:r w:rsidRPr="00ED2FCF">
        <w:rPr>
          <w:rFonts w:ascii="Times New Roman" w:hAnsi="Times New Roman" w:cs="Times New Roman"/>
          <w:b/>
          <w:bCs/>
          <w:sz w:val="22"/>
          <w:szCs w:val="22"/>
        </w:rPr>
        <w:t xml:space="preserve">Table </w:t>
      </w:r>
      <w:r w:rsidRPr="00ED2FCF">
        <w:rPr>
          <w:rFonts w:ascii="Times New Roman" w:hAnsi="Times New Roman" w:cs="Times New Roman" w:hint="eastAsia"/>
          <w:b/>
          <w:bCs/>
          <w:sz w:val="22"/>
          <w:szCs w:val="22"/>
        </w:rPr>
        <w:t>2</w:t>
      </w:r>
      <w:r w:rsidRPr="00ED2FCF">
        <w:rPr>
          <w:rFonts w:ascii="Times New Roman" w:hAnsi="Times New Roman" w:cs="Times New Roman"/>
          <w:b/>
          <w:bCs/>
          <w:sz w:val="22"/>
          <w:szCs w:val="22"/>
        </w:rPr>
        <w:t>: Core Performance Metrics</w:t>
      </w:r>
    </w:p>
    <w:tbl>
      <w:tblPr>
        <w:tblStyle w:val="31"/>
        <w:tblW w:w="8306" w:type="dxa"/>
        <w:tblLook w:val="04A0" w:firstRow="1" w:lastRow="0" w:firstColumn="1" w:lastColumn="0" w:noHBand="0" w:noVBand="1"/>
      </w:tblPr>
      <w:tblGrid>
        <w:gridCol w:w="1277"/>
        <w:gridCol w:w="966"/>
        <w:gridCol w:w="1724"/>
        <w:gridCol w:w="1491"/>
        <w:gridCol w:w="927"/>
        <w:gridCol w:w="1024"/>
        <w:gridCol w:w="897"/>
      </w:tblGrid>
      <w:tr w:rsidR="003D7DC4" w:rsidRPr="00ED2FCF" w14:paraId="743EBD4C" w14:textId="77777777" w:rsidTr="003D7DC4">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77" w:type="dxa"/>
            <w:noWrap/>
            <w:hideMark/>
          </w:tcPr>
          <w:p w14:paraId="4B0302D8" w14:textId="1E841FC7"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Key</w:t>
            </w:r>
          </w:p>
        </w:tc>
        <w:tc>
          <w:tcPr>
            <w:tcW w:w="966" w:type="dxa"/>
            <w:noWrap/>
            <w:hideMark/>
          </w:tcPr>
          <w:p w14:paraId="4D90FF92" w14:textId="6FEAC655"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Weight</w:t>
            </w:r>
          </w:p>
        </w:tc>
        <w:tc>
          <w:tcPr>
            <w:tcW w:w="1724" w:type="dxa"/>
            <w:noWrap/>
            <w:hideMark/>
          </w:tcPr>
          <w:p w14:paraId="4EA95B7B" w14:textId="7E3239AA"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Ann</w:t>
            </w:r>
            <w:r>
              <w:rPr>
                <w:rFonts w:ascii="Times New Roman" w:hAnsi="Times New Roman" w:cs="Times New Roman"/>
                <w:b w:val="0"/>
                <w:bCs w:val="0"/>
                <w:sz w:val="18"/>
                <w:szCs w:val="18"/>
              </w:rPr>
              <w:t>_RET_</w:t>
            </w:r>
            <w:r w:rsidRPr="003D7DC4">
              <w:rPr>
                <w:rFonts w:ascii="Times New Roman" w:hAnsi="Times New Roman" w:cs="Times New Roman"/>
                <w:b w:val="0"/>
                <w:bCs w:val="0"/>
                <w:sz w:val="18"/>
                <w:szCs w:val="18"/>
              </w:rPr>
              <w:t>Gross</w:t>
            </w:r>
          </w:p>
        </w:tc>
        <w:tc>
          <w:tcPr>
            <w:tcW w:w="1491" w:type="dxa"/>
            <w:noWrap/>
            <w:hideMark/>
          </w:tcPr>
          <w:p w14:paraId="5227568C" w14:textId="36526DC4"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Ann</w:t>
            </w:r>
            <w:r>
              <w:rPr>
                <w:rFonts w:ascii="Times New Roman" w:hAnsi="Times New Roman" w:cs="Times New Roman"/>
                <w:b w:val="0"/>
                <w:bCs w:val="0"/>
                <w:sz w:val="18"/>
                <w:szCs w:val="18"/>
              </w:rPr>
              <w:t>_RET_</w:t>
            </w:r>
            <w:r w:rsidRPr="003D7DC4">
              <w:rPr>
                <w:rFonts w:ascii="Times New Roman" w:hAnsi="Times New Roman" w:cs="Times New Roman"/>
                <w:b w:val="0"/>
                <w:bCs w:val="0"/>
                <w:sz w:val="18"/>
                <w:szCs w:val="18"/>
              </w:rPr>
              <w:t>Net</w:t>
            </w:r>
          </w:p>
        </w:tc>
        <w:tc>
          <w:tcPr>
            <w:tcW w:w="927" w:type="dxa"/>
            <w:noWrap/>
            <w:hideMark/>
          </w:tcPr>
          <w:p w14:paraId="4A302308" w14:textId="1F067E41"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Sharpe</w:t>
            </w:r>
          </w:p>
        </w:tc>
        <w:tc>
          <w:tcPr>
            <w:tcW w:w="1024" w:type="dxa"/>
            <w:noWrap/>
            <w:hideMark/>
          </w:tcPr>
          <w:p w14:paraId="33BCD282" w14:textId="708C59FB"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Sortino</w:t>
            </w:r>
          </w:p>
        </w:tc>
        <w:tc>
          <w:tcPr>
            <w:tcW w:w="897" w:type="dxa"/>
            <w:noWrap/>
            <w:hideMark/>
          </w:tcPr>
          <w:p w14:paraId="6DE48E94" w14:textId="618B7EF5" w:rsidR="003D7DC4" w:rsidRPr="003D7DC4" w:rsidRDefault="003D7DC4" w:rsidP="003D7DC4">
            <w:pPr>
              <w:cnfStyle w:val="100000000000" w:firstRow="1" w:lastRow="0" w:firstColumn="0" w:lastColumn="0" w:oddVBand="0" w:evenVBand="0" w:oddHBand="0" w:evenHBand="0" w:firstRowFirstColumn="0" w:firstRowLastColumn="0" w:lastRowFirstColumn="0" w:lastRowLastColumn="0"/>
              <w:rPr>
                <w:rStyle w:val="af0"/>
                <w:rFonts w:ascii="Times New Roman" w:hAnsi="Times New Roman" w:cs="Times New Roman"/>
                <w:b/>
                <w:bCs/>
                <w:color w:val="1F1F1F"/>
                <w:sz w:val="18"/>
                <w:szCs w:val="18"/>
                <w:bdr w:val="none" w:sz="0" w:space="0" w:color="auto" w:frame="1"/>
              </w:rPr>
            </w:pPr>
            <w:r w:rsidRPr="003D7DC4">
              <w:rPr>
                <w:rFonts w:ascii="Times New Roman" w:hAnsi="Times New Roman" w:cs="Times New Roman"/>
                <w:b w:val="0"/>
                <w:bCs w:val="0"/>
                <w:sz w:val="18"/>
                <w:szCs w:val="18"/>
              </w:rPr>
              <w:t>MaxDD</w:t>
            </w:r>
          </w:p>
        </w:tc>
      </w:tr>
      <w:tr w:rsidR="003D7DC4" w:rsidRPr="00ED2FCF" w14:paraId="6035F791"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25F0FE6D" w14:textId="67C7C621"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LSTM_L12</w:t>
            </w:r>
          </w:p>
        </w:tc>
        <w:tc>
          <w:tcPr>
            <w:tcW w:w="966" w:type="dxa"/>
            <w:noWrap/>
            <w:hideMark/>
          </w:tcPr>
          <w:p w14:paraId="295D7224" w14:textId="4B5FE290"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MCW</w:t>
            </w:r>
          </w:p>
        </w:tc>
        <w:tc>
          <w:tcPr>
            <w:tcW w:w="1724" w:type="dxa"/>
            <w:noWrap/>
            <w:hideMark/>
          </w:tcPr>
          <w:p w14:paraId="00F0A10E" w14:textId="280E1D39"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0.216</w:t>
            </w:r>
          </w:p>
        </w:tc>
        <w:tc>
          <w:tcPr>
            <w:tcW w:w="1491" w:type="dxa"/>
            <w:noWrap/>
            <w:hideMark/>
          </w:tcPr>
          <w:p w14:paraId="2A5F3EA0" w14:textId="1D06CA85"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0.134</w:t>
            </w:r>
          </w:p>
        </w:tc>
        <w:tc>
          <w:tcPr>
            <w:tcW w:w="927" w:type="dxa"/>
            <w:noWrap/>
            <w:hideMark/>
          </w:tcPr>
          <w:p w14:paraId="22F23DDF" w14:textId="5578A558"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Style w:val="af0"/>
                <w:rFonts w:ascii="Times New Roman" w:hAnsi="Times New Roman" w:cs="Times New Roman"/>
                <w:sz w:val="18"/>
                <w:szCs w:val="18"/>
              </w:rPr>
              <w:t>0.732</w:t>
            </w:r>
          </w:p>
        </w:tc>
        <w:tc>
          <w:tcPr>
            <w:tcW w:w="1024" w:type="dxa"/>
            <w:noWrap/>
            <w:hideMark/>
          </w:tcPr>
          <w:p w14:paraId="423C4667" w14:textId="18DAF060"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1.029</w:t>
            </w:r>
          </w:p>
        </w:tc>
        <w:tc>
          <w:tcPr>
            <w:tcW w:w="897" w:type="dxa"/>
            <w:noWrap/>
            <w:hideMark/>
          </w:tcPr>
          <w:p w14:paraId="1D65A9F6" w14:textId="318DADE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-0.175</w:t>
            </w:r>
          </w:p>
        </w:tc>
      </w:tr>
      <w:tr w:rsidR="003D7DC4" w:rsidRPr="00ED2FCF" w14:paraId="4E71FE07" w14:textId="77777777" w:rsidTr="003D7DC4">
        <w:trPr>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1674E2B" w14:textId="7E0A0210"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Linear_L12</w:t>
            </w:r>
          </w:p>
        </w:tc>
        <w:tc>
          <w:tcPr>
            <w:tcW w:w="966" w:type="dxa"/>
            <w:noWrap/>
            <w:hideMark/>
          </w:tcPr>
          <w:p w14:paraId="432E8EF4" w14:textId="122473ED"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MCW</w:t>
            </w:r>
          </w:p>
        </w:tc>
        <w:tc>
          <w:tcPr>
            <w:tcW w:w="1724" w:type="dxa"/>
            <w:noWrap/>
            <w:hideMark/>
          </w:tcPr>
          <w:p w14:paraId="6C2EFD7B" w14:textId="1761CA12"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0.117</w:t>
            </w:r>
          </w:p>
        </w:tc>
        <w:tc>
          <w:tcPr>
            <w:tcW w:w="1491" w:type="dxa"/>
            <w:noWrap/>
            <w:hideMark/>
          </w:tcPr>
          <w:p w14:paraId="61BF4587" w14:textId="7D626B3C"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0.039</w:t>
            </w:r>
          </w:p>
        </w:tc>
        <w:tc>
          <w:tcPr>
            <w:tcW w:w="927" w:type="dxa"/>
            <w:noWrap/>
            <w:hideMark/>
          </w:tcPr>
          <w:p w14:paraId="01DB30FA" w14:textId="22C46033"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0.282</w:t>
            </w:r>
          </w:p>
        </w:tc>
        <w:tc>
          <w:tcPr>
            <w:tcW w:w="1024" w:type="dxa"/>
            <w:noWrap/>
            <w:hideMark/>
          </w:tcPr>
          <w:p w14:paraId="50F28DA2" w14:textId="5FD7D5C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0.339</w:t>
            </w:r>
          </w:p>
        </w:tc>
        <w:tc>
          <w:tcPr>
            <w:tcW w:w="897" w:type="dxa"/>
            <w:noWrap/>
            <w:hideMark/>
          </w:tcPr>
          <w:p w14:paraId="04305D25" w14:textId="599CB4C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-0.276</w:t>
            </w:r>
          </w:p>
        </w:tc>
      </w:tr>
      <w:tr w:rsidR="003D7DC4" w:rsidRPr="00ED2FCF" w14:paraId="203F69C7"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062B251E" w14:textId="2DC777CF"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LSTM_L6</w:t>
            </w:r>
          </w:p>
        </w:tc>
        <w:tc>
          <w:tcPr>
            <w:tcW w:w="966" w:type="dxa"/>
            <w:noWrap/>
            <w:hideMark/>
          </w:tcPr>
          <w:p w14:paraId="403BA9D1" w14:textId="7A8443D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MCW</w:t>
            </w:r>
          </w:p>
        </w:tc>
        <w:tc>
          <w:tcPr>
            <w:tcW w:w="1724" w:type="dxa"/>
            <w:noWrap/>
            <w:hideMark/>
          </w:tcPr>
          <w:p w14:paraId="4BEEA06D" w14:textId="650E4D0F"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0.099</w:t>
            </w:r>
          </w:p>
        </w:tc>
        <w:tc>
          <w:tcPr>
            <w:tcW w:w="1491" w:type="dxa"/>
            <w:noWrap/>
            <w:hideMark/>
          </w:tcPr>
          <w:p w14:paraId="1C8D45D9" w14:textId="0868C688"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0.023</w:t>
            </w:r>
          </w:p>
        </w:tc>
        <w:tc>
          <w:tcPr>
            <w:tcW w:w="927" w:type="dxa"/>
            <w:noWrap/>
            <w:hideMark/>
          </w:tcPr>
          <w:p w14:paraId="72BD5DE9" w14:textId="0D9C69C7"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0.210</w:t>
            </w:r>
          </w:p>
        </w:tc>
        <w:tc>
          <w:tcPr>
            <w:tcW w:w="1024" w:type="dxa"/>
            <w:noWrap/>
            <w:hideMark/>
          </w:tcPr>
          <w:p w14:paraId="65C8A9CE" w14:textId="499CDA04"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0.234</w:t>
            </w:r>
          </w:p>
        </w:tc>
        <w:tc>
          <w:tcPr>
            <w:tcW w:w="897" w:type="dxa"/>
            <w:noWrap/>
            <w:hideMark/>
          </w:tcPr>
          <w:p w14:paraId="5E272EE8" w14:textId="2B09983C"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-0.279</w:t>
            </w:r>
          </w:p>
        </w:tc>
      </w:tr>
      <w:tr w:rsidR="003D7DC4" w:rsidRPr="00ED2FCF" w14:paraId="257F4AFF" w14:textId="77777777" w:rsidTr="003D7DC4">
        <w:trPr>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BC9B58F" w14:textId="730D27F1"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LSTM_L24</w:t>
            </w:r>
          </w:p>
        </w:tc>
        <w:tc>
          <w:tcPr>
            <w:tcW w:w="966" w:type="dxa"/>
            <w:noWrap/>
            <w:hideMark/>
          </w:tcPr>
          <w:p w14:paraId="4447069E" w14:textId="69CCED1A"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MCW</w:t>
            </w:r>
          </w:p>
        </w:tc>
        <w:tc>
          <w:tcPr>
            <w:tcW w:w="1724" w:type="dxa"/>
            <w:noWrap/>
            <w:hideMark/>
          </w:tcPr>
          <w:p w14:paraId="73D5A2CD" w14:textId="1D774DE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0.068</w:t>
            </w:r>
          </w:p>
        </w:tc>
        <w:tc>
          <w:tcPr>
            <w:tcW w:w="1491" w:type="dxa"/>
            <w:noWrap/>
            <w:hideMark/>
          </w:tcPr>
          <w:p w14:paraId="65D396A5" w14:textId="351A2029"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-0.002</w:t>
            </w:r>
          </w:p>
        </w:tc>
        <w:tc>
          <w:tcPr>
            <w:tcW w:w="927" w:type="dxa"/>
            <w:noWrap/>
            <w:hideMark/>
          </w:tcPr>
          <w:p w14:paraId="014721AB" w14:textId="1CC6F0E7"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0.108</w:t>
            </w:r>
          </w:p>
        </w:tc>
        <w:tc>
          <w:tcPr>
            <w:tcW w:w="1024" w:type="dxa"/>
            <w:noWrap/>
            <w:hideMark/>
          </w:tcPr>
          <w:p w14:paraId="20E35BEA" w14:textId="0CE7E100"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0.123</w:t>
            </w:r>
          </w:p>
        </w:tc>
        <w:tc>
          <w:tcPr>
            <w:tcW w:w="897" w:type="dxa"/>
            <w:noWrap/>
            <w:hideMark/>
          </w:tcPr>
          <w:p w14:paraId="4D49DBBA" w14:textId="0266D669"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-0.223</w:t>
            </w:r>
          </w:p>
        </w:tc>
      </w:tr>
      <w:tr w:rsidR="003D7DC4" w:rsidRPr="00ED2FCF" w14:paraId="2EAE0806"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F6CE152" w14:textId="2769AA86"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Linear_L6</w:t>
            </w:r>
          </w:p>
        </w:tc>
        <w:tc>
          <w:tcPr>
            <w:tcW w:w="966" w:type="dxa"/>
            <w:noWrap/>
            <w:hideMark/>
          </w:tcPr>
          <w:p w14:paraId="2F0CC19C" w14:textId="1E660F3B"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MCW</w:t>
            </w:r>
          </w:p>
        </w:tc>
        <w:tc>
          <w:tcPr>
            <w:tcW w:w="1724" w:type="dxa"/>
            <w:noWrap/>
            <w:hideMark/>
          </w:tcPr>
          <w:p w14:paraId="176C47B4" w14:textId="0FAD630C"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0.053</w:t>
            </w:r>
          </w:p>
        </w:tc>
        <w:tc>
          <w:tcPr>
            <w:tcW w:w="1491" w:type="dxa"/>
            <w:noWrap/>
            <w:hideMark/>
          </w:tcPr>
          <w:p w14:paraId="3007898D" w14:textId="47843EE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-0.015</w:t>
            </w:r>
          </w:p>
        </w:tc>
        <w:tc>
          <w:tcPr>
            <w:tcW w:w="927" w:type="dxa"/>
            <w:noWrap/>
            <w:hideMark/>
          </w:tcPr>
          <w:p w14:paraId="2C34B2CD" w14:textId="616366C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0.032</w:t>
            </w:r>
          </w:p>
        </w:tc>
        <w:tc>
          <w:tcPr>
            <w:tcW w:w="1024" w:type="dxa"/>
            <w:noWrap/>
            <w:hideMark/>
          </w:tcPr>
          <w:p w14:paraId="7CBC2E5F" w14:textId="2323E94B"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0.033</w:t>
            </w:r>
          </w:p>
        </w:tc>
        <w:tc>
          <w:tcPr>
            <w:tcW w:w="897" w:type="dxa"/>
            <w:noWrap/>
            <w:hideMark/>
          </w:tcPr>
          <w:p w14:paraId="5A4BF2CA" w14:textId="750D2535"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-0.215</w:t>
            </w:r>
          </w:p>
        </w:tc>
      </w:tr>
      <w:tr w:rsidR="003D7DC4" w:rsidRPr="00ED2FCF" w14:paraId="13D6204B" w14:textId="77777777" w:rsidTr="003D7DC4">
        <w:trPr>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6576A372" w14:textId="43625CD7"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LSTM_L24</w:t>
            </w:r>
          </w:p>
        </w:tc>
        <w:tc>
          <w:tcPr>
            <w:tcW w:w="966" w:type="dxa"/>
            <w:noWrap/>
            <w:hideMark/>
          </w:tcPr>
          <w:p w14:paraId="13694161" w14:textId="564D924D"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47FDEE78" w14:textId="062C849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0.006</w:t>
            </w:r>
          </w:p>
        </w:tc>
        <w:tc>
          <w:tcPr>
            <w:tcW w:w="1491" w:type="dxa"/>
            <w:noWrap/>
            <w:hideMark/>
          </w:tcPr>
          <w:p w14:paraId="73B24F54" w14:textId="6D0FFA06"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-0.127</w:t>
            </w:r>
          </w:p>
        </w:tc>
        <w:tc>
          <w:tcPr>
            <w:tcW w:w="927" w:type="dxa"/>
            <w:noWrap/>
            <w:hideMark/>
          </w:tcPr>
          <w:p w14:paraId="1A9A2C46" w14:textId="70CB6BF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-0.399</w:t>
            </w:r>
          </w:p>
        </w:tc>
        <w:tc>
          <w:tcPr>
            <w:tcW w:w="1024" w:type="dxa"/>
            <w:noWrap/>
            <w:hideMark/>
          </w:tcPr>
          <w:p w14:paraId="27A13C7E" w14:textId="7F2FB25A"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-0.410</w:t>
            </w:r>
          </w:p>
        </w:tc>
        <w:tc>
          <w:tcPr>
            <w:tcW w:w="897" w:type="dxa"/>
            <w:noWrap/>
            <w:hideMark/>
          </w:tcPr>
          <w:p w14:paraId="6F9A770D" w14:textId="445DA881"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-0.443</w:t>
            </w:r>
          </w:p>
        </w:tc>
      </w:tr>
      <w:tr w:rsidR="003D7DC4" w:rsidRPr="00ED2FCF" w14:paraId="41E6EC32"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8A18662" w14:textId="673A8931"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Linear_L24</w:t>
            </w:r>
          </w:p>
        </w:tc>
        <w:tc>
          <w:tcPr>
            <w:tcW w:w="966" w:type="dxa"/>
            <w:noWrap/>
            <w:hideMark/>
          </w:tcPr>
          <w:p w14:paraId="07AD2CBB" w14:textId="6C689CE9"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1999AE38" w14:textId="540A86E3"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-0.041</w:t>
            </w:r>
          </w:p>
        </w:tc>
        <w:tc>
          <w:tcPr>
            <w:tcW w:w="1491" w:type="dxa"/>
            <w:noWrap/>
            <w:hideMark/>
          </w:tcPr>
          <w:p w14:paraId="37BD5B3C" w14:textId="2E215D08"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-0.128</w:t>
            </w:r>
          </w:p>
        </w:tc>
        <w:tc>
          <w:tcPr>
            <w:tcW w:w="927" w:type="dxa"/>
            <w:noWrap/>
            <w:hideMark/>
          </w:tcPr>
          <w:p w14:paraId="7661CBCF" w14:textId="3F93CCD4"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-0.417</w:t>
            </w:r>
          </w:p>
        </w:tc>
        <w:tc>
          <w:tcPr>
            <w:tcW w:w="1024" w:type="dxa"/>
            <w:noWrap/>
            <w:hideMark/>
          </w:tcPr>
          <w:p w14:paraId="20D4BB30" w14:textId="57C8C65B"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-0.477</w:t>
            </w:r>
          </w:p>
        </w:tc>
        <w:tc>
          <w:tcPr>
            <w:tcW w:w="897" w:type="dxa"/>
            <w:noWrap/>
            <w:hideMark/>
          </w:tcPr>
          <w:p w14:paraId="1C1DE500" w14:textId="46AE013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-0.438</w:t>
            </w:r>
          </w:p>
        </w:tc>
      </w:tr>
      <w:tr w:rsidR="003D7DC4" w:rsidRPr="00ED2FCF" w14:paraId="32D1DA54" w14:textId="77777777" w:rsidTr="003D7DC4">
        <w:trPr>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530000AC" w14:textId="2B4CD3FE"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LSTM_L12</w:t>
            </w:r>
          </w:p>
        </w:tc>
        <w:tc>
          <w:tcPr>
            <w:tcW w:w="966" w:type="dxa"/>
            <w:noWrap/>
            <w:hideMark/>
          </w:tcPr>
          <w:p w14:paraId="42269D67" w14:textId="2E3CC487"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5E7146DE" w14:textId="45E27448"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-0.009</w:t>
            </w:r>
          </w:p>
        </w:tc>
        <w:tc>
          <w:tcPr>
            <w:tcW w:w="1491" w:type="dxa"/>
            <w:noWrap/>
            <w:hideMark/>
          </w:tcPr>
          <w:p w14:paraId="3AB8934E" w14:textId="0FF08D5D"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-0.146</w:t>
            </w:r>
          </w:p>
        </w:tc>
        <w:tc>
          <w:tcPr>
            <w:tcW w:w="927" w:type="dxa"/>
            <w:noWrap/>
            <w:hideMark/>
          </w:tcPr>
          <w:p w14:paraId="55F7FD50" w14:textId="3732C4E9"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-0.456</w:t>
            </w:r>
          </w:p>
        </w:tc>
        <w:tc>
          <w:tcPr>
            <w:tcW w:w="1024" w:type="dxa"/>
            <w:noWrap/>
            <w:hideMark/>
          </w:tcPr>
          <w:p w14:paraId="25BDC812" w14:textId="1CBD65C7"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-0.482</w:t>
            </w:r>
          </w:p>
        </w:tc>
        <w:tc>
          <w:tcPr>
            <w:tcW w:w="897" w:type="dxa"/>
            <w:noWrap/>
            <w:hideMark/>
          </w:tcPr>
          <w:p w14:paraId="7CB1247D" w14:textId="0B1858CA"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-0.425</w:t>
            </w:r>
          </w:p>
        </w:tc>
      </w:tr>
      <w:tr w:rsidR="003D7DC4" w:rsidRPr="00ED2FCF" w14:paraId="4DC944D7"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7B1995D" w14:textId="33BA220F"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Linear_L6</w:t>
            </w:r>
          </w:p>
        </w:tc>
        <w:tc>
          <w:tcPr>
            <w:tcW w:w="966" w:type="dxa"/>
            <w:noWrap/>
            <w:hideMark/>
          </w:tcPr>
          <w:p w14:paraId="33555E40" w14:textId="104CD4CE"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6D0D9271" w14:textId="220211A7"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-0.016</w:t>
            </w:r>
          </w:p>
        </w:tc>
        <w:tc>
          <w:tcPr>
            <w:tcW w:w="1491" w:type="dxa"/>
            <w:noWrap/>
            <w:hideMark/>
          </w:tcPr>
          <w:p w14:paraId="3CB7E70C" w14:textId="7AF6C374"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-0.140</w:t>
            </w:r>
          </w:p>
        </w:tc>
        <w:tc>
          <w:tcPr>
            <w:tcW w:w="927" w:type="dxa"/>
            <w:noWrap/>
            <w:hideMark/>
          </w:tcPr>
          <w:p w14:paraId="762783B5" w14:textId="2F17EEB3"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-0.510</w:t>
            </w:r>
          </w:p>
        </w:tc>
        <w:tc>
          <w:tcPr>
            <w:tcW w:w="1024" w:type="dxa"/>
            <w:noWrap/>
            <w:hideMark/>
          </w:tcPr>
          <w:p w14:paraId="64F4BA7A" w14:textId="0FCDF0C9"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-0.540</w:t>
            </w:r>
          </w:p>
        </w:tc>
        <w:tc>
          <w:tcPr>
            <w:tcW w:w="897" w:type="dxa"/>
            <w:noWrap/>
            <w:hideMark/>
          </w:tcPr>
          <w:p w14:paraId="1BA2C0C0" w14:textId="5773B70A"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-0.412</w:t>
            </w:r>
          </w:p>
        </w:tc>
      </w:tr>
      <w:tr w:rsidR="003D7DC4" w:rsidRPr="00ED2FCF" w14:paraId="53E274F8" w14:textId="77777777" w:rsidTr="003D7DC4">
        <w:trPr>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D62C3B2" w14:textId="3560AB03"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LSTM_L6</w:t>
            </w:r>
          </w:p>
        </w:tc>
        <w:tc>
          <w:tcPr>
            <w:tcW w:w="966" w:type="dxa"/>
            <w:noWrap/>
            <w:hideMark/>
          </w:tcPr>
          <w:p w14:paraId="10FA6A78" w14:textId="4407FFEB"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71D33929" w14:textId="3064AFBF"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-0.033</w:t>
            </w:r>
          </w:p>
        </w:tc>
        <w:tc>
          <w:tcPr>
            <w:tcW w:w="1491" w:type="dxa"/>
            <w:noWrap/>
            <w:hideMark/>
          </w:tcPr>
          <w:p w14:paraId="4F44C33E" w14:textId="068813CF"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-0.175</w:t>
            </w:r>
          </w:p>
        </w:tc>
        <w:tc>
          <w:tcPr>
            <w:tcW w:w="927" w:type="dxa"/>
            <w:noWrap/>
            <w:hideMark/>
          </w:tcPr>
          <w:p w14:paraId="1C030A5A" w14:textId="3C057835"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-0.521</w:t>
            </w:r>
          </w:p>
        </w:tc>
        <w:tc>
          <w:tcPr>
            <w:tcW w:w="1024" w:type="dxa"/>
            <w:noWrap/>
            <w:hideMark/>
          </w:tcPr>
          <w:p w14:paraId="3BB0D698" w14:textId="3B191094"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-0.551</w:t>
            </w:r>
          </w:p>
        </w:tc>
        <w:tc>
          <w:tcPr>
            <w:tcW w:w="897" w:type="dxa"/>
            <w:noWrap/>
            <w:hideMark/>
          </w:tcPr>
          <w:p w14:paraId="0A254C08" w14:textId="0187A56F" w:rsidR="003D7DC4" w:rsidRPr="003D7DC4" w:rsidRDefault="003D7DC4" w:rsidP="003D7DC4">
            <w:pPr>
              <w:cnfStyle w:val="000000000000" w:firstRow="0" w:lastRow="0" w:firstColumn="0" w:lastColumn="0" w:oddVBand="0" w:evenVBand="0" w:oddHBand="0"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-0.467</w:t>
            </w:r>
          </w:p>
        </w:tc>
      </w:tr>
      <w:tr w:rsidR="003D7DC4" w:rsidRPr="00ED2FCF" w14:paraId="6B22F47E" w14:textId="77777777" w:rsidTr="003D7DC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1AE326D" w14:textId="41084C10" w:rsidR="003D7DC4" w:rsidRPr="003D7DC4" w:rsidRDefault="003D7DC4" w:rsidP="003D7DC4">
            <w:pPr>
              <w:rPr>
                <w:rStyle w:val="af0"/>
                <w:rFonts w:ascii="Times New Roman" w:hAnsi="Times New Roman" w:cs="Times New Roman"/>
                <w:b/>
                <w:bCs/>
                <w:color w:val="1F1F1F"/>
                <w:sz w:val="18"/>
                <w:szCs w:val="18"/>
                <w:bdr w:val="none" w:sz="0" w:space="0" w:color="auto" w:frame="1"/>
              </w:rPr>
            </w:pPr>
            <w:r w:rsidRPr="003D7DC4">
              <w:rPr>
                <w:rStyle w:val="af0"/>
                <w:rFonts w:ascii="Times New Roman" w:hAnsi="Times New Roman" w:cs="Times New Roman"/>
                <w:sz w:val="18"/>
                <w:szCs w:val="18"/>
              </w:rPr>
              <w:t>Linear_L12</w:t>
            </w:r>
          </w:p>
        </w:tc>
        <w:tc>
          <w:tcPr>
            <w:tcW w:w="966" w:type="dxa"/>
            <w:noWrap/>
            <w:hideMark/>
          </w:tcPr>
          <w:p w14:paraId="02D13B65" w14:textId="15AF5298"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EW</w:t>
            </w:r>
          </w:p>
        </w:tc>
        <w:tc>
          <w:tcPr>
            <w:tcW w:w="1724" w:type="dxa"/>
            <w:noWrap/>
            <w:hideMark/>
          </w:tcPr>
          <w:p w14:paraId="2FE04338" w14:textId="61469C17"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-0.047</w:t>
            </w:r>
          </w:p>
        </w:tc>
        <w:tc>
          <w:tcPr>
            <w:tcW w:w="1491" w:type="dxa"/>
            <w:noWrap/>
            <w:hideMark/>
          </w:tcPr>
          <w:p w14:paraId="497F97A8" w14:textId="43D59CF5"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-0.174</w:t>
            </w:r>
          </w:p>
        </w:tc>
        <w:tc>
          <w:tcPr>
            <w:tcW w:w="927" w:type="dxa"/>
            <w:noWrap/>
            <w:hideMark/>
          </w:tcPr>
          <w:p w14:paraId="3EE9F07B" w14:textId="30331602"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-0.595</w:t>
            </w:r>
          </w:p>
        </w:tc>
        <w:tc>
          <w:tcPr>
            <w:tcW w:w="1024" w:type="dxa"/>
            <w:noWrap/>
            <w:hideMark/>
          </w:tcPr>
          <w:p w14:paraId="2FBB8077" w14:textId="58E54301"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-0.722</w:t>
            </w:r>
          </w:p>
        </w:tc>
        <w:tc>
          <w:tcPr>
            <w:tcW w:w="897" w:type="dxa"/>
            <w:noWrap/>
            <w:hideMark/>
          </w:tcPr>
          <w:p w14:paraId="473C30A5" w14:textId="6CBE4417" w:rsidR="003D7DC4" w:rsidRPr="003D7DC4" w:rsidRDefault="003D7DC4" w:rsidP="003D7DC4">
            <w:pPr>
              <w:cnfStyle w:val="000000100000" w:firstRow="0" w:lastRow="0" w:firstColumn="0" w:lastColumn="0" w:oddVBand="0" w:evenVBand="0" w:oddHBand="1" w:evenHBand="0" w:firstRowFirstColumn="0" w:firstRowLastColumn="0" w:lastRowFirstColumn="0" w:lastRowLastColumn="0"/>
              <w:rPr>
                <w:rStyle w:val="af0"/>
                <w:rFonts w:ascii="Times New Roman" w:hAnsi="Times New Roman" w:cs="Times New Roman"/>
                <w:color w:val="1F1F1F"/>
                <w:sz w:val="18"/>
                <w:szCs w:val="18"/>
                <w:bdr w:val="none" w:sz="0" w:space="0" w:color="auto" w:frame="1"/>
              </w:rPr>
            </w:pPr>
            <w:r w:rsidRPr="003D7DC4">
              <w:rPr>
                <w:rFonts w:ascii="Times New Roman" w:hAnsi="Times New Roman" w:cs="Times New Roman"/>
                <w:sz w:val="18"/>
                <w:szCs w:val="18"/>
              </w:rPr>
              <w:t>-0.519</w:t>
            </w:r>
          </w:p>
        </w:tc>
      </w:tr>
    </w:tbl>
    <w:p w14:paraId="4E68ED8F" w14:textId="77777777" w:rsidR="00161A98" w:rsidRPr="00ED2FCF" w:rsidRDefault="00161A98" w:rsidP="00161A98">
      <w:pPr>
        <w:spacing w:after="100" w:afterAutospacing="1"/>
        <w:jc w:val="both"/>
        <w:rPr>
          <w:rFonts w:ascii="Times New Roman" w:hAnsi="Times New Roman" w:cs="Times New Roman"/>
          <w:b/>
          <w:bCs/>
          <w:sz w:val="22"/>
          <w:szCs w:val="22"/>
        </w:rPr>
      </w:pPr>
    </w:p>
    <w:p w14:paraId="3D0EDF75" w14:textId="57CAC7FC" w:rsidR="00907DFB" w:rsidRPr="00ED2FCF" w:rsidRDefault="00907DFB" w:rsidP="00E77355">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Cost &amp; Liquidity Analysis</w:t>
      </w:r>
    </w:p>
    <w:p w14:paraId="51D5424D" w14:textId="1331EA2D" w:rsidR="00950115" w:rsidRPr="00ED2FCF" w:rsidRDefault="00950115" w:rsidP="00950115">
      <w:pPr>
        <w:spacing w:after="100" w:afterAutospacing="1"/>
        <w:jc w:val="both"/>
        <w:outlineLvl w:val="2"/>
        <w:rPr>
          <w:rFonts w:ascii="Times New Roman" w:hAnsi="Times New Roman" w:cs="Times New Roman"/>
          <w:sz w:val="22"/>
          <w:szCs w:val="22"/>
        </w:rPr>
      </w:pPr>
      <w:r w:rsidRPr="00ED2FCF">
        <w:rPr>
          <w:rFonts w:ascii="Times New Roman" w:hAnsi="Times New Roman" w:cs="Times New Roman"/>
          <w:sz w:val="22"/>
          <w:szCs w:val="22"/>
        </w:rPr>
        <w:t>The six charts above reveal how transaction costs and liquidity fundamentally reshape portfolio realizations, especially when predictive signals interact with different weighting schemes.</w:t>
      </w:r>
    </w:p>
    <w:p w14:paraId="3E5D9DB7" w14:textId="203CDC68" w:rsidR="00E77355" w:rsidRPr="00ED2FCF" w:rsidRDefault="00E77355" w:rsidP="00E7735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The Cost Trap (EW Strategies)</w:t>
      </w:r>
    </w:p>
    <w:p w14:paraId="59BB2C6F" w14:textId="46053472" w:rsidR="00950115" w:rsidRPr="00ED2FCF" w:rsidRDefault="00950115" w:rsidP="0095011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lastRenderedPageBreak/>
        <w:t>Across all EW configurations, Net NAV persistently trails Gross NAV due to EW’s structural tilt toward small- and mid-cap stocks—segments characterized by wider spreads, thinner order books, and higher turnover. This liquidity deficit imposes severe cost drag:</w:t>
      </w:r>
      <w:r w:rsidRPr="00ED2FCF">
        <w:rPr>
          <w:rFonts w:ascii="Times New Roman" w:hAnsi="Times New Roman" w:cs="Times New Roman" w:hint="eastAsia"/>
          <w:sz w:val="22"/>
          <w:szCs w:val="22"/>
        </w:rPr>
        <w:t xml:space="preserve"> </w:t>
      </w:r>
      <w:r w:rsidRPr="00ED2FCF">
        <w:rPr>
          <w:rFonts w:ascii="Times New Roman" w:hAnsi="Times New Roman" w:cs="Times New Roman"/>
          <w:sz w:val="22"/>
          <w:szCs w:val="22"/>
        </w:rPr>
        <w:t>Even with strong predictive power—for instance, the LSTM (L=</w:t>
      </w:r>
      <w:r w:rsidR="003A1F53">
        <w:rPr>
          <w:rFonts w:ascii="Times New Roman" w:hAnsi="Times New Roman" w:cs="Times New Roman" w:hint="eastAsia"/>
          <w:sz w:val="22"/>
          <w:szCs w:val="22"/>
        </w:rPr>
        <w:t>12</w:t>
      </w:r>
      <w:r w:rsidRPr="00ED2FCF">
        <w:rPr>
          <w:rFonts w:ascii="Times New Roman" w:hAnsi="Times New Roman" w:cs="Times New Roman"/>
          <w:sz w:val="22"/>
          <w:szCs w:val="22"/>
        </w:rPr>
        <w:t xml:space="preserve">) achieving a </w:t>
      </w:r>
      <w:r w:rsidR="003A1F53">
        <w:rPr>
          <w:rFonts w:ascii="Times New Roman" w:hAnsi="Times New Roman" w:cs="Times New Roman" w:hint="eastAsia"/>
          <w:sz w:val="22"/>
          <w:szCs w:val="22"/>
        </w:rPr>
        <w:t>13</w:t>
      </w:r>
      <w:r w:rsidRPr="00ED2FCF">
        <w:rPr>
          <w:rFonts w:ascii="Times New Roman" w:hAnsi="Times New Roman" w:cs="Times New Roman"/>
          <w:sz w:val="22"/>
          <w:szCs w:val="22"/>
        </w:rPr>
        <w:t>.6% Annualized Gross Return—the resulting Net Return collapses once execution frictions are incorporated.</w:t>
      </w:r>
    </w:p>
    <w:p w14:paraId="3E96175D" w14:textId="5BFDEC70" w:rsidR="00E77355" w:rsidRPr="00ED2FCF" w:rsidRDefault="00950115" w:rsidP="0095011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The Linear model fares even worse: lacking meaningful signal strength, it cannot offset EW’s liquidity burden, resulting in a negative Net Return of –1.5%.</w:t>
      </w:r>
      <w:r w:rsidRPr="00ED2FCF">
        <w:rPr>
          <w:rFonts w:ascii="Times New Roman" w:hAnsi="Times New Roman" w:cs="Times New Roman" w:hint="eastAsia"/>
          <w:sz w:val="22"/>
          <w:szCs w:val="22"/>
        </w:rPr>
        <w:t xml:space="preserve"> </w:t>
      </w:r>
      <w:r w:rsidRPr="00ED2FCF">
        <w:rPr>
          <w:rFonts w:ascii="Times New Roman" w:hAnsi="Times New Roman" w:cs="Times New Roman"/>
          <w:sz w:val="22"/>
          <w:szCs w:val="22"/>
        </w:rPr>
        <w:t>In short, EW magnifies theoretical alpha but punishes any model whose forecasts cannot consistently overcome liquidity-induced slippage.</w:t>
      </w:r>
    </w:p>
    <w:p w14:paraId="1F0B12CB" w14:textId="4620AF79" w:rsidR="00E77355" w:rsidRPr="00ED2FCF" w:rsidRDefault="00E77355" w:rsidP="00E7735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The Liquidity Advantage (MCW Strategies)</w:t>
      </w:r>
    </w:p>
    <w:p w14:paraId="7F402965" w14:textId="2B04FBB2" w:rsidR="00E77355" w:rsidRPr="00ED2FCF" w:rsidRDefault="00E77355" w:rsidP="00E7735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Market-Cap Weighting naturally shifts exposure to the most liquid large-cap stocks in the universe. This dramatically reduces the Corwin–Schultz estimated trading costs, resulting in near-complete overlap between Gross and Net NAV curves—especially for the LSTM (</w:t>
      </w:r>
      <m:oMath>
        <m:r>
          <w:rPr>
            <w:rFonts w:ascii="Cambria Math" w:hAnsi="Cambria Math" w:cs="Times New Roman"/>
            <w:sz w:val="22"/>
            <w:szCs w:val="22"/>
          </w:rPr>
          <m:t>L=24</m:t>
        </m:r>
      </m:oMath>
      <w:r w:rsidRPr="00ED2FCF">
        <w:rPr>
          <w:rFonts w:ascii="Times New Roman" w:hAnsi="Times New Roman" w:cs="Times New Roman"/>
          <w:sz w:val="22"/>
          <w:szCs w:val="22"/>
        </w:rPr>
        <w:t xml:space="preserve">). With an average bid–ask </w:t>
      </w:r>
      <w:proofErr w:type="gramStart"/>
      <w:r w:rsidRPr="00ED2FCF">
        <w:rPr>
          <w:rFonts w:ascii="Times New Roman" w:hAnsi="Times New Roman" w:cs="Times New Roman"/>
          <w:sz w:val="22"/>
          <w:szCs w:val="22"/>
        </w:rPr>
        <w:t>spread</w:t>
      </w:r>
      <w:proofErr w:type="gramEnd"/>
      <w:r w:rsidRPr="00ED2FCF">
        <w:rPr>
          <w:rFonts w:ascii="Times New Roman" w:hAnsi="Times New Roman" w:cs="Times New Roman"/>
          <w:sz w:val="22"/>
          <w:szCs w:val="22"/>
        </w:rPr>
        <w:t xml:space="preserve"> of only </w:t>
      </w:r>
      <m:oMath>
        <m:r>
          <w:rPr>
            <w:rFonts w:ascii="Cambria Math" w:hAnsi="Cambria Math" w:cs="Times New Roman"/>
            <w:sz w:val="22"/>
            <w:szCs w:val="22"/>
          </w:rPr>
          <m:t>0.06%</m:t>
        </m:r>
      </m:oMath>
      <w:r w:rsidRPr="00ED2FCF">
        <w:rPr>
          <w:rFonts w:ascii="Times New Roman" w:hAnsi="Times New Roman" w:cs="Times New Roman"/>
          <w:sz w:val="22"/>
          <w:szCs w:val="22"/>
        </w:rPr>
        <w:t>, MCW effectively bypasses the liquidity trap and allows the underlying predictive signal to materialize without being diluted by execution frictions. Even the Linear model benefits under MCW, as its weak signal is no longer heavily penalized by slippage; however, it still lags the LSTM sharply due to inferior predictive quality.</w:t>
      </w:r>
    </w:p>
    <w:p w14:paraId="5B80F71C" w14:textId="253C8406" w:rsidR="00E77355" w:rsidRPr="00ED2FCF" w:rsidRDefault="00E77355" w:rsidP="00E7735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Conclusion</w:t>
      </w:r>
    </w:p>
    <w:p w14:paraId="03F04D10" w14:textId="5F7C79BF" w:rsidR="00E77355" w:rsidRPr="00ED2FCF" w:rsidRDefault="00E77355" w:rsidP="00E7735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 xml:space="preserve">EW highlights the raw Alpha potential of the forecasting model, while MCW reveals whether that Alpha is tradable in realistic market conditions. The analysis shows that only the LSTM paired with MCW at </w:t>
      </w:r>
      <m:oMath>
        <m:r>
          <w:rPr>
            <w:rFonts w:ascii="Cambria Math" w:hAnsi="Cambria Math" w:cs="Times New Roman"/>
            <w:sz w:val="22"/>
            <w:szCs w:val="22"/>
          </w:rPr>
          <m:t>L=24</m:t>
        </m:r>
      </m:oMath>
      <w:r w:rsidRPr="00ED2FCF">
        <w:rPr>
          <w:rFonts w:ascii="Times New Roman" w:hAnsi="Times New Roman" w:cs="Times New Roman"/>
          <w:sz w:val="22"/>
          <w:szCs w:val="22"/>
        </w:rPr>
        <w:t xml:space="preserve"> achieves a stable and economically viable balance between signal strength and execution feasibility.</w:t>
      </w:r>
    </w:p>
    <w:p w14:paraId="2909D05F" w14:textId="5A292636" w:rsidR="00A42BC6" w:rsidRPr="00ED2FCF" w:rsidRDefault="00A42BC6" w:rsidP="00A42BC6">
      <w:pPr>
        <w:pStyle w:val="a9"/>
        <w:numPr>
          <w:ilvl w:val="0"/>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Attribution and Diagnostic Analysis</w:t>
      </w:r>
    </w:p>
    <w:p w14:paraId="2079B35F" w14:textId="310F7755" w:rsidR="00A42BC6" w:rsidRPr="00ED2FCF" w:rsidRDefault="00A42BC6" w:rsidP="00A42BC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This section provides a deeper diagnostic assessment of model behavior by analyzing macro-regime sensitivity, liquidity and portfolio-composition characteristics, and model interpretability. These diagnostics help explain why the LSTM and Linear models behave differently under EW and MCW portfolio constructions, and how these differences manifest in realized Net NAV performance.</w:t>
      </w:r>
    </w:p>
    <w:p w14:paraId="77E313E8" w14:textId="00AE8BDD"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Macro-State Analysis: Stability Under EW vs. MCW</w:t>
      </w:r>
    </w:p>
    <w:p w14:paraId="2F2949F7" w14:textId="4D74E95E" w:rsidR="004D453A" w:rsidRPr="004D453A" w:rsidRDefault="004D453A" w:rsidP="004D453A">
      <w:pPr>
        <w:spacing w:after="100" w:afterAutospacing="1"/>
        <w:jc w:val="both"/>
        <w:rPr>
          <w:rFonts w:ascii="Times New Roman" w:hAnsi="Times New Roman" w:cs="Times New Roman"/>
          <w:sz w:val="22"/>
          <w:szCs w:val="22"/>
        </w:rPr>
      </w:pPr>
      <w:r w:rsidRPr="004D453A">
        <w:rPr>
          <w:rFonts w:ascii="Times New Roman" w:hAnsi="Times New Roman" w:cs="Times New Roman"/>
          <w:sz w:val="22"/>
          <w:szCs w:val="22"/>
        </w:rPr>
        <w:t>To understand how the strategies behave under different macroeconomic environments, we condition performance on four distinct market regimes.</w:t>
      </w:r>
      <w:r>
        <w:rPr>
          <w:rFonts w:ascii="Times New Roman" w:hAnsi="Times New Roman" w:cs="Times New Roman"/>
          <w:sz w:val="22"/>
          <w:szCs w:val="22"/>
        </w:rPr>
        <w:t xml:space="preserve"> </w:t>
      </w:r>
      <w:r w:rsidRPr="004D453A">
        <w:rPr>
          <w:rFonts w:ascii="Times New Roman" w:hAnsi="Times New Roman" w:cs="Times New Roman"/>
          <w:sz w:val="22"/>
          <w:szCs w:val="22"/>
        </w:rPr>
        <w:t>Each regime is defined by the interaction between market volatility, proxied by the VIX, and the direction of interest-rate movements (using the 10-year Treasury yield or short-rate trend).</w:t>
      </w:r>
      <w:r>
        <w:rPr>
          <w:rFonts w:ascii="Times New Roman" w:hAnsi="Times New Roman" w:cs="Times New Roman"/>
          <w:sz w:val="22"/>
          <w:szCs w:val="22"/>
        </w:rPr>
        <w:t xml:space="preserve"> </w:t>
      </w:r>
      <w:r w:rsidRPr="004D453A">
        <w:rPr>
          <w:rFonts w:ascii="Times New Roman" w:hAnsi="Times New Roman" w:cs="Times New Roman"/>
          <w:sz w:val="22"/>
          <w:szCs w:val="22"/>
        </w:rPr>
        <w:t>These two dimensions jointly capture the dominant macro forces shaping equity returns and risk-taking behavior.</w:t>
      </w:r>
      <w:r>
        <w:rPr>
          <w:rFonts w:ascii="Times New Roman" w:hAnsi="Times New Roman" w:cs="Times New Roman"/>
          <w:sz w:val="22"/>
          <w:szCs w:val="22"/>
        </w:rPr>
        <w:t xml:space="preserve"> </w:t>
      </w:r>
      <w:r w:rsidRPr="004D453A">
        <w:rPr>
          <w:rFonts w:ascii="Times New Roman" w:hAnsi="Times New Roman" w:cs="Times New Roman"/>
          <w:sz w:val="22"/>
          <w:szCs w:val="22"/>
        </w:rPr>
        <w:t>The four regimes are:</w:t>
      </w:r>
    </w:p>
    <w:p w14:paraId="2A47A2D6" w14:textId="7C5ABAD9" w:rsidR="004D453A" w:rsidRPr="004D453A" w:rsidRDefault="004D453A" w:rsidP="004D453A">
      <w:pPr>
        <w:numPr>
          <w:ilvl w:val="0"/>
          <w:numId w:val="57"/>
        </w:numPr>
        <w:spacing w:after="100" w:afterAutospacing="1"/>
        <w:jc w:val="both"/>
        <w:rPr>
          <w:rFonts w:ascii="Times New Roman" w:hAnsi="Times New Roman" w:cs="Times New Roman"/>
          <w:sz w:val="22"/>
          <w:szCs w:val="22"/>
        </w:rPr>
      </w:pPr>
      <w:r w:rsidRPr="004D453A">
        <w:rPr>
          <w:rFonts w:ascii="Times New Roman" w:hAnsi="Times New Roman" w:cs="Times New Roman"/>
          <w:b/>
          <w:bCs/>
          <w:sz w:val="22"/>
          <w:szCs w:val="22"/>
        </w:rPr>
        <w:lastRenderedPageBreak/>
        <w:t>Low Volatility + Falling Interest Rates</w:t>
      </w:r>
      <w:r w:rsidRPr="004D453A">
        <w:rPr>
          <w:rFonts w:ascii="Times New Roman" w:hAnsi="Times New Roman" w:cs="Times New Roman"/>
          <w:b/>
          <w:bCs/>
          <w:sz w:val="22"/>
          <w:szCs w:val="22"/>
        </w:rPr>
        <w:t xml:space="preserve">: </w:t>
      </w:r>
      <w:r w:rsidRPr="004D453A">
        <w:rPr>
          <w:rFonts w:ascii="Times New Roman" w:hAnsi="Times New Roman" w:cs="Times New Roman"/>
          <w:sz w:val="22"/>
          <w:szCs w:val="22"/>
        </w:rPr>
        <w:t>This represents a stable and highly supportive environment for risk assets.</w:t>
      </w:r>
      <w:r w:rsidRPr="004D453A">
        <w:rPr>
          <w:rFonts w:ascii="Times New Roman" w:hAnsi="Times New Roman" w:cs="Times New Roman"/>
          <w:sz w:val="22"/>
          <w:szCs w:val="22"/>
        </w:rPr>
        <w:t xml:space="preserve"> </w:t>
      </w:r>
      <w:r w:rsidRPr="004D453A">
        <w:rPr>
          <w:rFonts w:ascii="Times New Roman" w:hAnsi="Times New Roman" w:cs="Times New Roman"/>
          <w:sz w:val="22"/>
          <w:szCs w:val="22"/>
        </w:rPr>
        <w:t>Market uncertainty is low, liquidity is ample, and declining rates reduce discounting pressure.</w:t>
      </w:r>
      <w:r w:rsidRPr="004D453A">
        <w:rPr>
          <w:rFonts w:ascii="Times New Roman" w:hAnsi="Times New Roman" w:cs="Times New Roman"/>
          <w:sz w:val="22"/>
          <w:szCs w:val="22"/>
        </w:rPr>
        <w:t xml:space="preserve"> </w:t>
      </w:r>
      <w:r w:rsidRPr="004D453A">
        <w:rPr>
          <w:rFonts w:ascii="Times New Roman" w:hAnsi="Times New Roman" w:cs="Times New Roman"/>
          <w:sz w:val="22"/>
          <w:szCs w:val="22"/>
        </w:rPr>
        <w:t>Momentum and trend-following signals typically perform well here, and portfolios tend to experience smooth return paths.</w:t>
      </w:r>
    </w:p>
    <w:p w14:paraId="078D124A" w14:textId="00EEFF8B" w:rsidR="004D453A" w:rsidRPr="004D453A" w:rsidRDefault="004D453A" w:rsidP="004D453A">
      <w:pPr>
        <w:numPr>
          <w:ilvl w:val="0"/>
          <w:numId w:val="57"/>
        </w:numPr>
        <w:spacing w:after="100" w:afterAutospacing="1"/>
        <w:jc w:val="both"/>
        <w:rPr>
          <w:rFonts w:ascii="Times New Roman" w:hAnsi="Times New Roman" w:cs="Times New Roman" w:hint="eastAsia"/>
          <w:b/>
          <w:bCs/>
          <w:sz w:val="22"/>
          <w:szCs w:val="22"/>
        </w:rPr>
      </w:pPr>
      <w:r w:rsidRPr="004D453A">
        <w:rPr>
          <w:rFonts w:ascii="Times New Roman" w:hAnsi="Times New Roman" w:cs="Times New Roman"/>
          <w:b/>
          <w:bCs/>
          <w:sz w:val="22"/>
          <w:szCs w:val="22"/>
        </w:rPr>
        <w:t>Low Volatility + Rising Interest Rates</w:t>
      </w:r>
      <w:r w:rsidRPr="004D453A">
        <w:rPr>
          <w:rFonts w:ascii="Times New Roman" w:hAnsi="Times New Roman" w:cs="Times New Roman"/>
          <w:b/>
          <w:bCs/>
          <w:sz w:val="22"/>
          <w:szCs w:val="22"/>
        </w:rPr>
        <w:t xml:space="preserve">: </w:t>
      </w:r>
      <w:r w:rsidRPr="004D453A">
        <w:rPr>
          <w:rFonts w:ascii="Times New Roman" w:hAnsi="Times New Roman" w:cs="Times New Roman"/>
          <w:sz w:val="22"/>
          <w:szCs w:val="22"/>
        </w:rPr>
        <w:t>The market remains stable, but the monetary environment becomes tighter.</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Rising rates can compress valuations and weaken growth stocks, but low volatility still limits downside shocks.</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Strategies must rely more on cross-sectional stock-selection skill rather than broad market tailwinds.</w:t>
      </w:r>
    </w:p>
    <w:p w14:paraId="0FBCB6DA" w14:textId="65C42D34" w:rsidR="004D453A" w:rsidRPr="004D453A" w:rsidRDefault="004D453A" w:rsidP="004D453A">
      <w:pPr>
        <w:numPr>
          <w:ilvl w:val="0"/>
          <w:numId w:val="57"/>
        </w:numPr>
        <w:spacing w:after="100" w:afterAutospacing="1"/>
        <w:jc w:val="both"/>
        <w:rPr>
          <w:rFonts w:ascii="Times New Roman" w:hAnsi="Times New Roman" w:cs="Times New Roman" w:hint="eastAsia"/>
          <w:b/>
          <w:bCs/>
          <w:sz w:val="22"/>
          <w:szCs w:val="22"/>
        </w:rPr>
      </w:pPr>
      <w:r w:rsidRPr="004D453A">
        <w:rPr>
          <w:rFonts w:ascii="Times New Roman" w:hAnsi="Times New Roman" w:cs="Times New Roman"/>
          <w:b/>
          <w:bCs/>
          <w:sz w:val="22"/>
          <w:szCs w:val="22"/>
        </w:rPr>
        <w:t>High Volatility + Falling Interest Rates</w:t>
      </w:r>
      <w:r w:rsidRPr="004D453A">
        <w:rPr>
          <w:rFonts w:ascii="Times New Roman" w:hAnsi="Times New Roman" w:cs="Times New Roman"/>
          <w:b/>
          <w:bCs/>
          <w:sz w:val="22"/>
          <w:szCs w:val="22"/>
        </w:rPr>
        <w:t>:</w:t>
      </w:r>
      <w:r w:rsidRPr="004D453A">
        <w:rPr>
          <w:rFonts w:ascii="Times New Roman" w:hAnsi="Times New Roman" w:cs="Times New Roman"/>
          <w:sz w:val="22"/>
          <w:szCs w:val="22"/>
        </w:rPr>
        <w:t xml:space="preserve"> </w:t>
      </w:r>
      <w:r w:rsidRPr="004D453A">
        <w:rPr>
          <w:rFonts w:ascii="Times New Roman" w:hAnsi="Times New Roman" w:cs="Times New Roman"/>
          <w:sz w:val="22"/>
          <w:szCs w:val="22"/>
        </w:rPr>
        <w:t>This regime often corresponds to market stress followed by early recovery.</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Volatility is elevated due to macro uncertainty, but falling rates provide partial relief.</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Return dispersion increases, which can either help or hurt LSTM-based signals depending on their stability.</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Portfolios may experience oscillation or whipsaws as conditions shift rapidly.</w:t>
      </w:r>
    </w:p>
    <w:p w14:paraId="41F01186" w14:textId="37CEBC38" w:rsidR="004D453A" w:rsidRPr="004D453A" w:rsidRDefault="004D453A" w:rsidP="004D453A">
      <w:pPr>
        <w:numPr>
          <w:ilvl w:val="0"/>
          <w:numId w:val="57"/>
        </w:numPr>
        <w:spacing w:after="100" w:afterAutospacing="1"/>
        <w:jc w:val="both"/>
        <w:rPr>
          <w:rFonts w:ascii="Times New Roman" w:hAnsi="Times New Roman" w:cs="Times New Roman"/>
          <w:b/>
          <w:bCs/>
          <w:sz w:val="22"/>
          <w:szCs w:val="22"/>
        </w:rPr>
      </w:pPr>
      <w:r w:rsidRPr="004D453A">
        <w:rPr>
          <w:rFonts w:ascii="Times New Roman" w:hAnsi="Times New Roman" w:cs="Times New Roman"/>
          <w:b/>
          <w:bCs/>
          <w:sz w:val="22"/>
          <w:szCs w:val="22"/>
        </w:rPr>
        <w:t>4. High Volatility + Rising Interest Rates</w:t>
      </w:r>
      <w:r w:rsidRPr="004D453A">
        <w:rPr>
          <w:rFonts w:ascii="Times New Roman" w:hAnsi="Times New Roman" w:cs="Times New Roman"/>
          <w:b/>
          <w:bCs/>
          <w:sz w:val="22"/>
          <w:szCs w:val="22"/>
        </w:rPr>
        <w:t>:</w:t>
      </w:r>
      <w:r w:rsidRPr="004D453A">
        <w:rPr>
          <w:rFonts w:ascii="Times New Roman" w:hAnsi="Times New Roman" w:cs="Times New Roman"/>
          <w:sz w:val="22"/>
          <w:szCs w:val="22"/>
        </w:rPr>
        <w:t xml:space="preserve"> </w:t>
      </w:r>
      <w:r w:rsidRPr="004D453A">
        <w:rPr>
          <w:rFonts w:ascii="Times New Roman" w:hAnsi="Times New Roman" w:cs="Times New Roman"/>
          <w:sz w:val="22"/>
          <w:szCs w:val="22"/>
        </w:rPr>
        <w:t>This is the most challenging environment for equities.</w:t>
      </w:r>
      <w:r w:rsidRPr="004D453A">
        <w:rPr>
          <w:rFonts w:ascii="Times New Roman" w:hAnsi="Times New Roman" w:cs="Times New Roman" w:hint="eastAsia"/>
          <w:sz w:val="22"/>
          <w:szCs w:val="22"/>
        </w:rPr>
        <w:t xml:space="preserve"> </w:t>
      </w:r>
      <w:r w:rsidRPr="004D453A">
        <w:rPr>
          <w:rFonts w:ascii="Times New Roman" w:hAnsi="Times New Roman" w:cs="Times New Roman"/>
          <w:sz w:val="22"/>
          <w:szCs w:val="22"/>
        </w:rPr>
        <w:t>High volatility reflects risk aversion and heightened uncertainty, while rising rates further tighten financial conditions.</w:t>
      </w:r>
      <w:r w:rsidRPr="004D453A">
        <w:rPr>
          <w:rFonts w:ascii="Times New Roman" w:hAnsi="Times New Roman" w:cs="Times New Roman" w:hint="eastAsia"/>
          <w:sz w:val="22"/>
          <w:szCs w:val="22"/>
        </w:rPr>
        <w:t xml:space="preserve"> </w:t>
      </w:r>
    </w:p>
    <w:p w14:paraId="3038D51C" w14:textId="7F963EB1" w:rsidR="004D453A" w:rsidRDefault="004D453A" w:rsidP="004D453A">
      <w:pPr>
        <w:spacing w:after="100" w:afterAutospacing="1"/>
        <w:jc w:val="both"/>
        <w:rPr>
          <w:rFonts w:ascii="Times New Roman" w:hAnsi="Times New Roman" w:cs="Times New Roman"/>
          <w:sz w:val="22"/>
          <w:szCs w:val="22"/>
        </w:rPr>
      </w:pPr>
      <w:r w:rsidRPr="004D453A">
        <w:rPr>
          <w:rFonts w:ascii="Times New Roman" w:hAnsi="Times New Roman" w:cs="Times New Roman"/>
          <w:sz w:val="22"/>
          <w:szCs w:val="22"/>
        </w:rPr>
        <w:t>Trend signals tend to break down, linear models often fail, and drawdowns become more severe.</w:t>
      </w:r>
      <w:r>
        <w:rPr>
          <w:rFonts w:ascii="Times New Roman" w:hAnsi="Times New Roman" w:cs="Times New Roman" w:hint="eastAsia"/>
          <w:sz w:val="22"/>
          <w:szCs w:val="22"/>
        </w:rPr>
        <w:t xml:space="preserve"> </w:t>
      </w:r>
      <w:r w:rsidRPr="004D453A">
        <w:rPr>
          <w:rFonts w:ascii="Times New Roman" w:hAnsi="Times New Roman" w:cs="Times New Roman"/>
          <w:sz w:val="22"/>
          <w:szCs w:val="22"/>
        </w:rPr>
        <w:t>Most strategies show their weakest performance in this state.</w:t>
      </w:r>
    </w:p>
    <w:p w14:paraId="4C657293" w14:textId="72EAAE97" w:rsidR="00A42BC6" w:rsidRPr="00ED2FCF" w:rsidRDefault="00A42BC6" w:rsidP="004D453A">
      <w:p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Equal-Weight (EW): High Regime Amplification</w:t>
      </w:r>
    </w:p>
    <w:p w14:paraId="11350F81" w14:textId="42A47042" w:rsidR="00A42BC6" w:rsidRPr="00ED2FCF" w:rsidRDefault="00555E0B" w:rsidP="00A42BC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EW portfolios overweight small- and mid-cap stocks, which intensify exposure to macro shocks due to their higher volatility, thinner liquidity, and greater susceptibility to risk-off conditions. Across regimes, EW displays amplified boom-and-bust behavior</w:t>
      </w:r>
      <w:r w:rsidR="00A42BC6" w:rsidRPr="00ED2FCF">
        <w:rPr>
          <w:rFonts w:ascii="Times New Roman" w:hAnsi="Times New Roman" w:cs="Times New Roman"/>
          <w:sz w:val="22"/>
          <w:szCs w:val="22"/>
        </w:rPr>
        <w:t>:</w:t>
      </w:r>
    </w:p>
    <w:p w14:paraId="3BA075CB" w14:textId="00E22529" w:rsidR="00A42BC6" w:rsidRPr="00ED2FCF" w:rsidRDefault="00555E0B" w:rsidP="00555E0B">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Severe NAV deterioration during High-Vol + Rising-Rates (2022): </w:t>
      </w:r>
      <w:r w:rsidRPr="00ED2FCF">
        <w:rPr>
          <w:rFonts w:ascii="Times New Roman" w:hAnsi="Times New Roman" w:cs="Times New Roman"/>
          <w:sz w:val="22"/>
          <w:szCs w:val="22"/>
        </w:rPr>
        <w:t>Small-cap names suffer disproportionately when volatility spikes and funding costs rise, leading to sharp Gross NAV declines and even larger Net NAV losses due to widening spreads.</w:t>
      </w:r>
    </w:p>
    <w:p w14:paraId="5D74F13B" w14:textId="77777777" w:rsidR="00555E0B" w:rsidRPr="00ED2FCF" w:rsidRDefault="00555E0B" w:rsidP="00555E0B">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Strong but cost-diluted rebounds during favorable regimes: </w:t>
      </w:r>
      <w:r w:rsidRPr="00ED2FCF">
        <w:rPr>
          <w:rFonts w:ascii="Times New Roman" w:hAnsi="Times New Roman" w:cs="Times New Roman"/>
          <w:sz w:val="22"/>
          <w:szCs w:val="22"/>
        </w:rPr>
        <w:t>During Low-Vol recoveries or easing-rate periods, EW portfolios often exhibit strong Gross recovery, but the gains are heavily reduced once turnover and trading frictions are incorporated.</w:t>
      </w:r>
    </w:p>
    <w:p w14:paraId="7A730345" w14:textId="418347C8" w:rsidR="00A42BC6" w:rsidRPr="00ED2FCF" w:rsidRDefault="00555E0B" w:rsidP="00555E0B">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Gross returns may appear attractive, but Net returns consistently collapse:  </w:t>
      </w:r>
      <w:r w:rsidRPr="00ED2FCF">
        <w:rPr>
          <w:rFonts w:ascii="Times New Roman" w:hAnsi="Times New Roman" w:cs="Times New Roman"/>
          <w:sz w:val="22"/>
          <w:szCs w:val="22"/>
        </w:rPr>
        <w:t>High turnover combined with wide small-cap bid–ask spreads erases nearly all predictive value, explaining why all EW configurations delivered negative Net returns in the main experiment.</w:t>
      </w:r>
    </w:p>
    <w:p w14:paraId="29D65D1F" w14:textId="485D9F34" w:rsidR="00555E0B" w:rsidRPr="00ED2FCF" w:rsidRDefault="00555E0B" w:rsidP="00555E0B">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EW introduces regime amplification, not robustness—its small-cap tilt magnifies macro shocks and trading costs, making it unsuitable for translating predictive signals into economic returns.</w:t>
      </w:r>
    </w:p>
    <w:p w14:paraId="29516D4C" w14:textId="3039AE77" w:rsidR="00A42BC6" w:rsidRPr="00ED2FCF" w:rsidRDefault="00A42BC6" w:rsidP="00A42BC6">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Market-Cap Weight (MCW): Natural Regime Stabilizer</w:t>
      </w:r>
    </w:p>
    <w:p w14:paraId="6A1A7136" w14:textId="4597F681" w:rsidR="00A42BC6" w:rsidRPr="00ED2FCF" w:rsidRDefault="00FC23EA" w:rsidP="00A42BC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lastRenderedPageBreak/>
        <w:t>MCW reallocates the portfolio toward highly liquid large-cap stocks, significantly reducing sensitivity to volatility shocks and interest-rate tightening cycles. Across all regimes, MCW shows smooth, economically stable behavior:</w:t>
      </w:r>
    </w:p>
    <w:p w14:paraId="3C19A747" w14:textId="77777777" w:rsidR="00FC23EA" w:rsidRPr="00ED2FCF" w:rsidRDefault="00FC23EA" w:rsidP="00FC23EA">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Much smaller drawdowns during High-Vol + Rising-Rates: </w:t>
      </w:r>
      <w:r w:rsidRPr="00ED2FCF">
        <w:rPr>
          <w:rFonts w:ascii="Times New Roman" w:hAnsi="Times New Roman" w:cs="Times New Roman"/>
          <w:sz w:val="22"/>
          <w:szCs w:val="22"/>
        </w:rPr>
        <w:t>Large-cap liquidity buffers shock transmission, allowing MCW portfolios to maintain tighter NAV ranges compared to EW portfolios.</w:t>
      </w:r>
    </w:p>
    <w:p w14:paraId="32BAC8A4" w14:textId="0D17E908" w:rsidR="00A42BC6" w:rsidRPr="00ED2FCF" w:rsidRDefault="00A42BC6" w:rsidP="00FC23EA">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Smooth and sustainable recovery patterns</w:t>
      </w:r>
      <w:r w:rsidR="00FC23EA" w:rsidRPr="00ED2FCF">
        <w:rPr>
          <w:rFonts w:ascii="Times New Roman" w:hAnsi="Times New Roman" w:cs="Times New Roman"/>
          <w:b/>
          <w:bCs/>
          <w:sz w:val="22"/>
          <w:szCs w:val="22"/>
        </w:rPr>
        <w:t xml:space="preserve">: </w:t>
      </w:r>
      <w:r w:rsidR="00FC23EA" w:rsidRPr="00ED2FCF">
        <w:rPr>
          <w:rFonts w:ascii="Times New Roman" w:hAnsi="Times New Roman" w:cs="Times New Roman"/>
          <w:sz w:val="22"/>
          <w:szCs w:val="22"/>
        </w:rPr>
        <w:t>During easing or low-vol regimes, MCW portfolios compound steadily without the noise-induced whipsaws seen under EW.</w:t>
      </w:r>
    </w:p>
    <w:p w14:paraId="42AFFFD7" w14:textId="3153BF14" w:rsidR="00A42BC6" w:rsidRPr="00ED2FCF" w:rsidRDefault="00FC23EA" w:rsidP="00FC23EA">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 xml:space="preserve">Minimal divergence between Gross and Net NAV: </w:t>
      </w:r>
      <w:r w:rsidRPr="00ED2FCF">
        <w:rPr>
          <w:rFonts w:ascii="Times New Roman" w:hAnsi="Times New Roman" w:cs="Times New Roman"/>
          <w:sz w:val="22"/>
          <w:szCs w:val="22"/>
        </w:rPr>
        <w:t>Enabling predictive signals—especially from the LSTM—to fully translate into realized performance. Net slippage remains extremely small (0.05%–0.07%), preserving most of the forecasted alpha.</w:t>
      </w:r>
    </w:p>
    <w:p w14:paraId="34833C60" w14:textId="35DEFF49" w:rsidR="00A42BC6" w:rsidRPr="00ED2FCF" w:rsidRDefault="00FC23EA" w:rsidP="00FC23EA">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The LSTM_L12 + MCW configuration benefits the most from this stable, liquid environment. With strong nonlinear signal extraction and low execution costs, it delivers the highest Net return and best Sharpe ratio across all tested models and regimes. MCW acts as a regime stabilizer: it dampens shock sensitivity, protects against liquidity stress, and enables the LSTM signal—particularly at the 12-month horizon—to compound consistently through both turbulent and calm markets.</w:t>
      </w:r>
    </w:p>
    <w:p w14:paraId="29B0045F" w14:textId="514C4632"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Liquidity &amp; Holding Diagnostics</w:t>
      </w:r>
    </w:p>
    <w:p w14:paraId="60A46DA7" w14:textId="1F887D20" w:rsidR="00A42BC6" w:rsidRPr="00ED2FCF" w:rsidRDefault="00ED2FCF" w:rsidP="00A42BC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This section examines how portfolio composition—market-cap tilts, bid–ask spreads, and turnover—shapes the divergence between Gross and Net NAV across weighting schemes.</w:t>
      </w:r>
    </w:p>
    <w:p w14:paraId="167C41B4" w14:textId="7DB29B36" w:rsidR="00A42BC6" w:rsidRPr="00ED2FCF" w:rsidRDefault="00A42BC6" w:rsidP="00ED2FCF">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 xml:space="preserve">Market-Cap Exposure: </w:t>
      </w:r>
      <w:r w:rsidR="00ED2FCF" w:rsidRPr="00ED2FCF">
        <w:rPr>
          <w:rFonts w:ascii="Times New Roman" w:hAnsi="Times New Roman" w:cs="Times New Roman"/>
          <w:sz w:val="22"/>
          <w:szCs w:val="22"/>
        </w:rPr>
        <w:t>Equal-Weight (EW) portfolios mechanically overweight small-cap names (bottom 40% of the universe). These names exhibit wider spreads, lower depth, and higher idiosyncratic noise. Market-Cap Weighting (MCW) concentrates more than 70% of exposure in large-cap stocks, resulting in materially better liquidity and stabler trading conditions.</w:t>
      </w:r>
    </w:p>
    <w:p w14:paraId="7E158C75" w14:textId="77777777" w:rsidR="00ED2FCF" w:rsidRPr="00ED2FCF" w:rsidRDefault="00A42BC6" w:rsidP="00ED2FCF">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Liquidity Costs (Corwin–Schultz Spreads):</w:t>
      </w:r>
      <w:r w:rsidRPr="00ED2FCF">
        <w:rPr>
          <w:rFonts w:ascii="Times New Roman" w:hAnsi="Times New Roman" w:cs="Times New Roman"/>
          <w:sz w:val="22"/>
          <w:szCs w:val="22"/>
        </w:rPr>
        <w:t xml:space="preserve"> </w:t>
      </w:r>
    </w:p>
    <w:p w14:paraId="588B275D" w14:textId="77777777" w:rsidR="00ED2FCF" w:rsidRPr="00ED2FCF" w:rsidRDefault="00ED2FCF" w:rsidP="00ED2FCF">
      <w:pPr>
        <w:numPr>
          <w:ilvl w:val="1"/>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 xml:space="preserve">EW liquidity cost: </w:t>
      </w:r>
      <w:r w:rsidRPr="00ED2FCF">
        <w:rPr>
          <w:rFonts w:ascii="Times New Roman" w:hAnsi="Times New Roman" w:cs="Times New Roman"/>
          <w:sz w:val="22"/>
          <w:szCs w:val="22"/>
        </w:rPr>
        <w:t xml:space="preserve">0.28%–0.34% per trade — higher than most </w:t>
      </w:r>
      <w:proofErr w:type="gramStart"/>
      <w:r w:rsidRPr="00ED2FCF">
        <w:rPr>
          <w:rFonts w:ascii="Times New Roman" w:hAnsi="Times New Roman" w:cs="Times New Roman"/>
          <w:sz w:val="22"/>
          <w:szCs w:val="22"/>
        </w:rPr>
        <w:t>models’</w:t>
      </w:r>
      <w:proofErr w:type="gramEnd"/>
      <w:r w:rsidRPr="00ED2FCF">
        <w:rPr>
          <w:rFonts w:ascii="Times New Roman" w:hAnsi="Times New Roman" w:cs="Times New Roman"/>
          <w:sz w:val="22"/>
          <w:szCs w:val="22"/>
        </w:rPr>
        <w:t xml:space="preserve"> expected monthly alpha. </w:t>
      </w:r>
    </w:p>
    <w:p w14:paraId="3D4C659F" w14:textId="2E87A9AD" w:rsidR="00ED2FCF" w:rsidRPr="00ED2FCF" w:rsidRDefault="00ED2FCF" w:rsidP="00ED2FCF">
      <w:pPr>
        <w:numPr>
          <w:ilvl w:val="1"/>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 xml:space="preserve">MCW liquidity cost: </w:t>
      </w:r>
      <w:r w:rsidRPr="00ED2FCF">
        <w:rPr>
          <w:rFonts w:ascii="Times New Roman" w:hAnsi="Times New Roman" w:cs="Times New Roman"/>
          <w:sz w:val="22"/>
          <w:szCs w:val="22"/>
        </w:rPr>
        <w:t>0.05%–0.07% — small enough to preserve the majority of predictive signal.</w:t>
      </w:r>
    </w:p>
    <w:p w14:paraId="797A6ADB" w14:textId="36E3571C" w:rsidR="00A42BC6" w:rsidRPr="00ED2FCF" w:rsidRDefault="00ED2FCF" w:rsidP="00ED2FCF">
      <w:pPr>
        <w:spacing w:after="100" w:afterAutospacing="1"/>
        <w:ind w:left="720"/>
        <w:jc w:val="both"/>
        <w:rPr>
          <w:rFonts w:ascii="Times New Roman" w:hAnsi="Times New Roman" w:cs="Times New Roman"/>
          <w:sz w:val="22"/>
          <w:szCs w:val="22"/>
        </w:rPr>
      </w:pPr>
      <w:r w:rsidRPr="00ED2FCF">
        <w:rPr>
          <w:rFonts w:ascii="Times New Roman" w:hAnsi="Times New Roman" w:cs="Times New Roman"/>
          <w:sz w:val="22"/>
          <w:szCs w:val="22"/>
        </w:rPr>
        <w:t>This explains why all EW strategies delivered negative Net returns regardless of model quality, while MCW preserved alpha for stronger models.</w:t>
      </w:r>
    </w:p>
    <w:p w14:paraId="05114E67" w14:textId="2B06B525" w:rsidR="00A42BC6" w:rsidRPr="00ED2FCF" w:rsidRDefault="00A42BC6" w:rsidP="00ED2FCF">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 xml:space="preserve">Turnover Diagnostics: </w:t>
      </w:r>
      <w:r w:rsidR="00ED2FCF" w:rsidRPr="00ED2FCF">
        <w:rPr>
          <w:rFonts w:ascii="Times New Roman" w:hAnsi="Times New Roman" w:cs="Times New Roman"/>
          <w:sz w:val="22"/>
          <w:szCs w:val="22"/>
        </w:rPr>
        <w:t xml:space="preserve">EW turnover is 3–4× higher due to unstable small-cap membership in the </w:t>
      </w:r>
      <w:proofErr w:type="gramStart"/>
      <w:r w:rsidR="00ED2FCF" w:rsidRPr="00ED2FCF">
        <w:rPr>
          <w:rFonts w:ascii="Times New Roman" w:hAnsi="Times New Roman" w:cs="Times New Roman"/>
          <w:sz w:val="22"/>
          <w:szCs w:val="22"/>
        </w:rPr>
        <w:t>Top-100</w:t>
      </w:r>
      <w:proofErr w:type="gramEnd"/>
      <w:r w:rsidR="00ED2FCF" w:rsidRPr="00ED2FCF">
        <w:rPr>
          <w:rFonts w:ascii="Times New Roman" w:hAnsi="Times New Roman" w:cs="Times New Roman"/>
          <w:sz w:val="22"/>
          <w:szCs w:val="22"/>
        </w:rPr>
        <w:t xml:space="preserve"> list. Linear models generate weak signals and therefore have the worst signal-to-turnover ratio, producing steeply negative Net NAV under EW. Under MCW, LSTM (L=12) exhibits the best economic efficiency — moderate turnover + strongest predictive signal — explaining its superior Net performance.</w:t>
      </w:r>
    </w:p>
    <w:p w14:paraId="14777CAD" w14:textId="1FA9BFCB" w:rsidR="00A42BC6" w:rsidRPr="00ED2FCF" w:rsidRDefault="00ED2FCF" w:rsidP="00A42BC6">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lastRenderedPageBreak/>
        <w:t>LSTM signals become economically viable only when paired with MCW, which aligns liquidity with signal strength.</w:t>
      </w:r>
    </w:p>
    <w:p w14:paraId="46F6BF35" w14:textId="7EA953C2"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Model Interpretability</w:t>
      </w:r>
    </w:p>
    <w:p w14:paraId="6E709A2F" w14:textId="0A7AE48F" w:rsidR="00FA0F75" w:rsidRPr="00ED2FCF" w:rsidRDefault="00FA0F75" w:rsidP="00FA0F75">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Feature Importance under Market-Cap Weighting (MCW)</w:t>
      </w:r>
    </w:p>
    <w:p w14:paraId="7662F18C" w14:textId="026DF1D4" w:rsidR="00FA0F75" w:rsidRPr="00ED2FCF" w:rsidRDefault="00AE70D0" w:rsidP="00FA0F75">
      <w:pPr>
        <w:spacing w:after="100" w:afterAutospacing="1"/>
        <w:jc w:val="both"/>
        <w:outlineLvl w:val="2"/>
        <w:rPr>
          <w:rFonts w:ascii="Times New Roman" w:hAnsi="Times New Roman" w:cs="Times New Roman"/>
          <w:b/>
          <w:bCs/>
          <w:sz w:val="22"/>
          <w:szCs w:val="22"/>
        </w:rPr>
      </w:pPr>
      <w:r w:rsidRPr="00AE70D0">
        <w:rPr>
          <w:rFonts w:ascii="Times New Roman" w:hAnsi="Times New Roman" w:cs="Times New Roman"/>
          <w:b/>
          <w:bCs/>
          <w:noProof/>
          <w:sz w:val="22"/>
          <w:szCs w:val="22"/>
        </w:rPr>
        <w:drawing>
          <wp:inline distT="0" distB="0" distL="0" distR="0" wp14:anchorId="4EE3093D" wp14:editId="08B9C9DB">
            <wp:extent cx="5274310" cy="1731645"/>
            <wp:effectExtent l="0" t="0" r="0" b="0"/>
            <wp:docPr id="685053539"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3539" name="图片 1" descr="图表, 条形图&#10;&#10;AI 生成的内容可能不正确。"/>
                    <pic:cNvPicPr/>
                  </pic:nvPicPr>
                  <pic:blipFill>
                    <a:blip r:embed="rId11"/>
                    <a:stretch>
                      <a:fillRect/>
                    </a:stretch>
                  </pic:blipFill>
                  <pic:spPr>
                    <a:xfrm>
                      <a:off x="0" y="0"/>
                      <a:ext cx="5274310" cy="1731645"/>
                    </a:xfrm>
                    <a:prstGeom prst="rect">
                      <a:avLst/>
                    </a:prstGeom>
                  </pic:spPr>
                </pic:pic>
              </a:graphicData>
            </a:graphic>
          </wp:inline>
        </w:drawing>
      </w:r>
    </w:p>
    <w:p w14:paraId="690A547B" w14:textId="38470793" w:rsidR="00FA0F75" w:rsidRPr="00ED2FCF" w:rsidRDefault="00ED2FCF" w:rsidP="00FA0F75">
      <w:pPr>
        <w:spacing w:after="100" w:afterAutospacing="1"/>
        <w:jc w:val="both"/>
        <w:rPr>
          <w:rFonts w:ascii="Times New Roman" w:hAnsi="Times New Roman" w:cs="Times New Roman"/>
          <w:sz w:val="22"/>
          <w:szCs w:val="22"/>
        </w:rPr>
      </w:pPr>
      <w:r w:rsidRPr="00ED2FCF">
        <w:rPr>
          <w:rFonts w:ascii="Times New Roman" w:hAnsi="Times New Roman" w:cs="Times New Roman"/>
          <w:sz w:val="22"/>
          <w:szCs w:val="22"/>
        </w:rPr>
        <w:t>Under MCW, both models operate in a liquid large-cap environment with tight spreads and stable price formation</w:t>
      </w:r>
      <w:r w:rsidR="00FA0F75" w:rsidRPr="00ED2FCF">
        <w:rPr>
          <w:rFonts w:ascii="Times New Roman" w:hAnsi="Times New Roman" w:cs="Times New Roman"/>
          <w:sz w:val="22"/>
          <w:szCs w:val="22"/>
        </w:rPr>
        <w:t>:</w:t>
      </w:r>
    </w:p>
    <w:p w14:paraId="37088F35" w14:textId="77777777" w:rsidR="00ED2FCF" w:rsidRDefault="00FA0F75" w:rsidP="00ED2FCF">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Linear Model:</w:t>
      </w:r>
      <w:r w:rsidRPr="00ED2FCF">
        <w:rPr>
          <w:rFonts w:ascii="Times New Roman" w:hAnsi="Times New Roman" w:cs="Times New Roman" w:hint="eastAsia"/>
          <w:b/>
          <w:bCs/>
          <w:sz w:val="22"/>
          <w:szCs w:val="22"/>
        </w:rPr>
        <w:t xml:space="preserve"> </w:t>
      </w:r>
      <w:r w:rsidR="00ED2FCF" w:rsidRPr="00ED2FCF">
        <w:rPr>
          <w:rFonts w:ascii="Times New Roman" w:hAnsi="Times New Roman" w:cs="Times New Roman"/>
          <w:sz w:val="22"/>
          <w:szCs w:val="22"/>
        </w:rPr>
        <w:t>Dominated almost entirely by macro factors: Y_SHORT_Z (rates) and VIX_Z, jointly contributing nearly 90% of predictive weight.</w:t>
      </w:r>
      <w:r w:rsidR="00ED2FCF">
        <w:rPr>
          <w:rFonts w:ascii="Times New Roman" w:hAnsi="Times New Roman" w:cs="Times New Roman"/>
          <w:sz w:val="22"/>
          <w:szCs w:val="22"/>
        </w:rPr>
        <w:t xml:space="preserve"> </w:t>
      </w:r>
      <w:r w:rsidR="00ED2FCF" w:rsidRPr="00ED2FCF">
        <w:rPr>
          <w:rFonts w:ascii="Times New Roman" w:hAnsi="Times New Roman" w:cs="Times New Roman"/>
          <w:sz w:val="22"/>
          <w:szCs w:val="22"/>
        </w:rPr>
        <w:t>This reflects a globally linear, macro-driven structure lacking sensitivity to cross-sectional equity dynamics.</w:t>
      </w:r>
    </w:p>
    <w:p w14:paraId="5E85025A" w14:textId="05FC31A1" w:rsidR="00ED2FCF" w:rsidRPr="00ED2FCF" w:rsidRDefault="00FA0F75" w:rsidP="00ED2FCF">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LSTM:</w:t>
      </w:r>
      <w:r w:rsidRPr="00ED2FCF">
        <w:rPr>
          <w:rFonts w:ascii="Times New Roman" w:hAnsi="Times New Roman" w:cs="Times New Roman" w:hint="eastAsia"/>
          <w:sz w:val="22"/>
          <w:szCs w:val="22"/>
        </w:rPr>
        <w:t xml:space="preserve"> </w:t>
      </w:r>
      <w:r w:rsidR="00ED2FCF" w:rsidRPr="00ED2FCF">
        <w:rPr>
          <w:rFonts w:ascii="Times New Roman" w:hAnsi="Times New Roman" w:cs="Times New Roman"/>
          <w:sz w:val="22"/>
          <w:szCs w:val="22"/>
        </w:rPr>
        <w:t>The LSTM displays broad, diversified feature usage, relying on:</w:t>
      </w:r>
      <w:r w:rsidR="00ED2FCF" w:rsidRPr="00ED2FCF">
        <w:rPr>
          <w:rFonts w:ascii="Times New Roman" w:hAnsi="Times New Roman" w:cs="Times New Roman"/>
          <w:b/>
          <w:bCs/>
          <w:sz w:val="22"/>
          <w:szCs w:val="22"/>
        </w:rPr>
        <w:t xml:space="preserve"> </w:t>
      </w:r>
    </w:p>
    <w:p w14:paraId="1C085E20" w14:textId="080FBAFC" w:rsid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RET_Z (short-term mean reversion)</w:t>
      </w:r>
    </w:p>
    <w:p w14:paraId="61B48D95" w14:textId="6D7ABEC0" w:rsidR="00ED2FCF" w:rsidRP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MOM_3M_Z / MOM_12M_Z (trend/momentum)</w:t>
      </w:r>
    </w:p>
    <w:p w14:paraId="65E4C55E" w14:textId="4F9E02F6" w:rsidR="00ED2FCF" w:rsidRP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DLOG_V_Z (volume shocks)</w:t>
      </w:r>
    </w:p>
    <w:p w14:paraId="5673A556" w14:textId="4BB743C3" w:rsidR="00ED2FCF" w:rsidRP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CS_SPREAD_Z (microstructure/liquidity signals)</w:t>
      </w:r>
    </w:p>
    <w:p w14:paraId="4D18A381" w14:textId="2D9AC1B7" w:rsidR="00FA0F75" w:rsidRPr="00ED2FCF" w:rsidRDefault="00ED2FCF" w:rsidP="00ED2FCF">
      <w:pPr>
        <w:spacing w:after="100" w:afterAutospacing="1"/>
        <w:ind w:left="720"/>
        <w:jc w:val="both"/>
        <w:rPr>
          <w:rFonts w:ascii="Times New Roman" w:hAnsi="Times New Roman" w:cs="Times New Roman"/>
          <w:sz w:val="22"/>
          <w:szCs w:val="22"/>
        </w:rPr>
      </w:pPr>
      <w:r w:rsidRPr="00ED2FCF">
        <w:rPr>
          <w:rFonts w:ascii="Times New Roman" w:hAnsi="Times New Roman" w:cs="Times New Roman"/>
          <w:sz w:val="22"/>
          <w:szCs w:val="22"/>
        </w:rPr>
        <w:t>This demonstrates the model’s ability to capture nonlinear interactions across macro, micro, and technical features — a key component of its superior predictive power under MCW.</w:t>
      </w:r>
    </w:p>
    <w:p w14:paraId="14C2A7F6" w14:textId="2D672B80" w:rsidR="00A42BC6" w:rsidRDefault="00FA0F75" w:rsidP="00A42BC6">
      <w:pPr>
        <w:pStyle w:val="a9"/>
        <w:numPr>
          <w:ilvl w:val="2"/>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Feature Importance under Equal-Weighting (EW)</w:t>
      </w:r>
    </w:p>
    <w:p w14:paraId="3AF30131" w14:textId="4475D898" w:rsidR="00FA0F75" w:rsidRPr="00ED2FCF" w:rsidRDefault="00441D0E" w:rsidP="00FA0F75">
      <w:pPr>
        <w:spacing w:after="100" w:afterAutospacing="1"/>
        <w:jc w:val="both"/>
        <w:outlineLvl w:val="2"/>
        <w:rPr>
          <w:rFonts w:ascii="Times New Roman" w:hAnsi="Times New Roman" w:cs="Times New Roman"/>
          <w:b/>
          <w:bCs/>
          <w:sz w:val="22"/>
          <w:szCs w:val="22"/>
        </w:rPr>
      </w:pPr>
      <w:r w:rsidRPr="00441D0E">
        <w:rPr>
          <w:rFonts w:ascii="Times New Roman" w:hAnsi="Times New Roman" w:cs="Times New Roman"/>
          <w:b/>
          <w:bCs/>
          <w:noProof/>
          <w:sz w:val="22"/>
          <w:szCs w:val="22"/>
        </w:rPr>
        <w:drawing>
          <wp:inline distT="0" distB="0" distL="0" distR="0" wp14:anchorId="78031F80" wp14:editId="3A4037FF">
            <wp:extent cx="5274310" cy="1731645"/>
            <wp:effectExtent l="0" t="0" r="0" b="0"/>
            <wp:docPr id="1326064359"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4359" name="图片 1" descr="图表, 条形图&#10;&#10;AI 生成的内容可能不正确。"/>
                    <pic:cNvPicPr/>
                  </pic:nvPicPr>
                  <pic:blipFill>
                    <a:blip r:embed="rId12"/>
                    <a:stretch>
                      <a:fillRect/>
                    </a:stretch>
                  </pic:blipFill>
                  <pic:spPr>
                    <a:xfrm>
                      <a:off x="0" y="0"/>
                      <a:ext cx="5274310" cy="1731645"/>
                    </a:xfrm>
                    <a:prstGeom prst="rect">
                      <a:avLst/>
                    </a:prstGeom>
                  </pic:spPr>
                </pic:pic>
              </a:graphicData>
            </a:graphic>
          </wp:inline>
        </w:drawing>
      </w:r>
    </w:p>
    <w:p w14:paraId="21B0D37F" w14:textId="3F4F927D" w:rsidR="00FA0F75" w:rsidRPr="00ED2FCF" w:rsidRDefault="00DB01EA" w:rsidP="00DB01EA">
      <w:pPr>
        <w:spacing w:after="100" w:afterAutospacing="1"/>
        <w:jc w:val="both"/>
        <w:outlineLvl w:val="2"/>
        <w:rPr>
          <w:rFonts w:ascii="Times New Roman" w:hAnsi="Times New Roman" w:cs="Times New Roman"/>
          <w:sz w:val="22"/>
          <w:szCs w:val="22"/>
        </w:rPr>
      </w:pPr>
      <w:r w:rsidRPr="00ED2FCF">
        <w:rPr>
          <w:rFonts w:ascii="Times New Roman" w:hAnsi="Times New Roman" w:cs="Times New Roman"/>
          <w:sz w:val="22"/>
          <w:szCs w:val="22"/>
        </w:rPr>
        <w:t>EW introduces wide spreads and microstructure noise, degrading model interpretability</w:t>
      </w:r>
      <w:r w:rsidR="00FA0F75" w:rsidRPr="00ED2FCF">
        <w:rPr>
          <w:rFonts w:ascii="Times New Roman" w:hAnsi="Times New Roman" w:cs="Times New Roman"/>
          <w:sz w:val="22"/>
          <w:szCs w:val="22"/>
        </w:rPr>
        <w:t>:</w:t>
      </w:r>
    </w:p>
    <w:p w14:paraId="17AE6C81" w14:textId="098F1165" w:rsidR="00FA0F75" w:rsidRPr="00ED2FCF" w:rsidRDefault="00FA0F75" w:rsidP="00ED2FCF">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lastRenderedPageBreak/>
        <w:t>Linear Model:</w:t>
      </w:r>
      <w:r w:rsidRPr="00ED2FCF">
        <w:rPr>
          <w:rFonts w:ascii="Times New Roman" w:hAnsi="Times New Roman" w:cs="Times New Roman" w:hint="eastAsia"/>
          <w:b/>
          <w:bCs/>
          <w:sz w:val="22"/>
          <w:szCs w:val="22"/>
        </w:rPr>
        <w:t xml:space="preserve"> </w:t>
      </w:r>
      <w:r w:rsidR="00ED2FCF" w:rsidRPr="00ED2FCF">
        <w:rPr>
          <w:rFonts w:ascii="Times New Roman" w:hAnsi="Times New Roman" w:cs="Times New Roman"/>
          <w:sz w:val="22"/>
          <w:szCs w:val="22"/>
        </w:rPr>
        <w:t>The macro-dominance becomes even stronger. Rates (Y_SHORT_Z) and volatility (VIX_Z) consume nearly all predictive mass, while equity-specific features collapse toward zero weight. This explains the poor Net performance: the Linear model cannot differentiate firm-level signals in a noisy small-cap environment.</w:t>
      </w:r>
    </w:p>
    <w:p w14:paraId="567E7423" w14:textId="77777777" w:rsidR="00ED2FCF" w:rsidRPr="00ED2FCF" w:rsidRDefault="00FA0F75" w:rsidP="00ED2FCF">
      <w:pPr>
        <w:numPr>
          <w:ilvl w:val="0"/>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LSTM:</w:t>
      </w:r>
      <w:r w:rsidRPr="00ED2FCF">
        <w:rPr>
          <w:rFonts w:ascii="Times New Roman" w:hAnsi="Times New Roman" w:cs="Times New Roman" w:hint="eastAsia"/>
          <w:b/>
          <w:bCs/>
          <w:sz w:val="22"/>
          <w:szCs w:val="22"/>
        </w:rPr>
        <w:t xml:space="preserve"> </w:t>
      </w:r>
      <w:r w:rsidR="00ED2FCF" w:rsidRPr="00ED2FCF">
        <w:rPr>
          <w:rFonts w:ascii="Times New Roman" w:hAnsi="Times New Roman" w:cs="Times New Roman"/>
          <w:sz w:val="22"/>
          <w:szCs w:val="22"/>
        </w:rPr>
        <w:t>The LSTM retains a broader feature footprint but shifts toward microstructure-sensitive variables:</w:t>
      </w:r>
    </w:p>
    <w:p w14:paraId="764C6624" w14:textId="0247171C" w:rsidR="00ED2FCF" w:rsidRP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DLOG_P_Z / DLOG_V_Z (price–volume microstructure)</w:t>
      </w:r>
    </w:p>
    <w:p w14:paraId="0DA9F2F1" w14:textId="1C72D3AC" w:rsidR="00ED2FCF" w:rsidRPr="00ED2FCF" w:rsidRDefault="00ED2FCF" w:rsidP="00ED2FCF">
      <w:pPr>
        <w:numPr>
          <w:ilvl w:val="1"/>
          <w:numId w:val="57"/>
        </w:numPr>
        <w:spacing w:after="100" w:afterAutospacing="1"/>
        <w:jc w:val="both"/>
        <w:rPr>
          <w:rFonts w:ascii="Times New Roman" w:hAnsi="Times New Roman" w:cs="Times New Roman"/>
          <w:b/>
          <w:bCs/>
          <w:sz w:val="22"/>
          <w:szCs w:val="22"/>
        </w:rPr>
      </w:pPr>
      <w:r w:rsidRPr="00ED2FCF">
        <w:rPr>
          <w:rFonts w:ascii="Times New Roman" w:hAnsi="Times New Roman" w:cs="Times New Roman"/>
          <w:b/>
          <w:bCs/>
          <w:sz w:val="22"/>
          <w:szCs w:val="22"/>
        </w:rPr>
        <w:t>CS_SPREAD_Z (liquidity shocks)</w:t>
      </w:r>
    </w:p>
    <w:p w14:paraId="198561A3" w14:textId="4BD9CDE8" w:rsidR="00FA0F75" w:rsidRPr="00ED2FCF" w:rsidRDefault="00ED2FCF" w:rsidP="00ED2FCF">
      <w:pPr>
        <w:spacing w:after="100" w:afterAutospacing="1"/>
        <w:ind w:left="720"/>
        <w:jc w:val="both"/>
        <w:rPr>
          <w:rFonts w:ascii="Times New Roman" w:hAnsi="Times New Roman" w:cs="Times New Roman"/>
          <w:sz w:val="22"/>
          <w:szCs w:val="22"/>
        </w:rPr>
      </w:pPr>
      <w:r w:rsidRPr="00ED2FCF">
        <w:rPr>
          <w:rFonts w:ascii="Times New Roman" w:hAnsi="Times New Roman" w:cs="Times New Roman"/>
          <w:sz w:val="22"/>
          <w:szCs w:val="22"/>
        </w:rPr>
        <w:t>This reflects adaptation to EW’s small-cap exposure, but the resulting alpha is fully absorbed by spreads and turnover, leading to negative Net returns.</w:t>
      </w:r>
    </w:p>
    <w:p w14:paraId="44DBAE0B" w14:textId="0A89C08E"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Summary of Diagnostic Insights</w:t>
      </w:r>
    </w:p>
    <w:p w14:paraId="6D317D6C" w14:textId="77777777" w:rsidR="002133F2" w:rsidRDefault="002133F2" w:rsidP="002133F2">
      <w:pPr>
        <w:spacing w:after="100" w:afterAutospacing="1"/>
        <w:jc w:val="both"/>
        <w:outlineLvl w:val="2"/>
        <w:rPr>
          <w:rFonts w:ascii="Times New Roman" w:hAnsi="Times New Roman" w:cs="Times New Roman"/>
          <w:sz w:val="22"/>
          <w:szCs w:val="22"/>
        </w:rPr>
      </w:pPr>
      <w:r w:rsidRPr="002133F2">
        <w:rPr>
          <w:rFonts w:ascii="Times New Roman" w:hAnsi="Times New Roman" w:cs="Times New Roman"/>
          <w:sz w:val="22"/>
          <w:szCs w:val="22"/>
        </w:rPr>
        <w:t>EW amplifies liquidity frictions, destroying Net performance despite reasonable Gross alpha.</w:t>
      </w:r>
      <w:r>
        <w:rPr>
          <w:rFonts w:ascii="Times New Roman" w:hAnsi="Times New Roman" w:cs="Times New Roman"/>
          <w:sz w:val="22"/>
          <w:szCs w:val="22"/>
        </w:rPr>
        <w:t xml:space="preserve"> </w:t>
      </w:r>
      <w:r w:rsidRPr="002133F2">
        <w:rPr>
          <w:rFonts w:ascii="Times New Roman" w:hAnsi="Times New Roman" w:cs="Times New Roman"/>
          <w:sz w:val="22"/>
          <w:szCs w:val="22"/>
        </w:rPr>
        <w:t>MCW preserves alpha by aligning signal generation with large-cap liquidity, allowing LSTM models to convert predictive edges into realized returns.</w:t>
      </w:r>
      <w:r>
        <w:rPr>
          <w:rFonts w:ascii="Times New Roman" w:hAnsi="Times New Roman" w:cs="Times New Roman"/>
          <w:sz w:val="22"/>
          <w:szCs w:val="22"/>
        </w:rPr>
        <w:t xml:space="preserve"> </w:t>
      </w:r>
      <w:r w:rsidRPr="002133F2">
        <w:rPr>
          <w:rFonts w:ascii="Times New Roman" w:hAnsi="Times New Roman" w:cs="Times New Roman"/>
          <w:sz w:val="22"/>
          <w:szCs w:val="22"/>
        </w:rPr>
        <w:t>Linear models produce fragile signals that collapse under trading costs, regardless of weighting scheme.</w:t>
      </w:r>
      <w:r>
        <w:rPr>
          <w:rFonts w:ascii="Times New Roman" w:hAnsi="Times New Roman" w:cs="Times New Roman"/>
          <w:sz w:val="22"/>
          <w:szCs w:val="22"/>
        </w:rPr>
        <w:t xml:space="preserve"> </w:t>
      </w:r>
      <w:r w:rsidRPr="002133F2">
        <w:rPr>
          <w:rFonts w:ascii="Times New Roman" w:hAnsi="Times New Roman" w:cs="Times New Roman"/>
          <w:sz w:val="22"/>
          <w:szCs w:val="22"/>
        </w:rPr>
        <w:t>LSTM (L=12, MCW) provides the most economically robust combination:</w:t>
      </w:r>
      <w:r>
        <w:rPr>
          <w:rFonts w:ascii="Times New Roman" w:hAnsi="Times New Roman" w:cs="Times New Roman"/>
          <w:sz w:val="22"/>
          <w:szCs w:val="22"/>
        </w:rPr>
        <w:t xml:space="preserve"> </w:t>
      </w:r>
      <w:r w:rsidRPr="002133F2">
        <w:rPr>
          <w:rFonts w:ascii="Times New Roman" w:hAnsi="Times New Roman" w:cs="Times New Roman"/>
          <w:sz w:val="22"/>
          <w:szCs w:val="22"/>
        </w:rPr>
        <w:t>the strongest signal + low trading frictions = best Net NAV outcome.</w:t>
      </w:r>
    </w:p>
    <w:p w14:paraId="5ED83C62" w14:textId="67D839E2" w:rsidR="00A42BC6" w:rsidRPr="002133F2" w:rsidRDefault="00A42BC6" w:rsidP="002133F2">
      <w:pPr>
        <w:pStyle w:val="a9"/>
        <w:numPr>
          <w:ilvl w:val="0"/>
          <w:numId w:val="45"/>
        </w:numPr>
        <w:spacing w:after="100" w:afterAutospacing="1"/>
        <w:jc w:val="both"/>
        <w:outlineLvl w:val="2"/>
        <w:rPr>
          <w:rFonts w:ascii="Times New Roman" w:hAnsi="Times New Roman" w:cs="Times New Roman"/>
          <w:b/>
          <w:bCs/>
          <w:sz w:val="22"/>
          <w:szCs w:val="22"/>
        </w:rPr>
      </w:pPr>
      <w:r w:rsidRPr="002133F2">
        <w:rPr>
          <w:rFonts w:ascii="Times New Roman" w:hAnsi="Times New Roman" w:cs="Times New Roman"/>
          <w:b/>
          <w:bCs/>
          <w:sz w:val="22"/>
          <w:szCs w:val="22"/>
        </w:rPr>
        <w:t>Conclusion and Future Directions</w:t>
      </w:r>
    </w:p>
    <w:p w14:paraId="28917450" w14:textId="6AF3336A"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Summary of Findings</w:t>
      </w:r>
    </w:p>
    <w:p w14:paraId="6F27EC70" w14:textId="45A33592" w:rsidR="00A42BC6" w:rsidRPr="002133F2" w:rsidRDefault="00A42BC6" w:rsidP="002133F2">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Predictive Advantage of LSTM:</w:t>
      </w:r>
      <w:r w:rsidRPr="00ED2FCF">
        <w:rPr>
          <w:rFonts w:ascii="Times New Roman" w:hAnsi="Times New Roman" w:cs="Times New Roman"/>
          <w:sz w:val="22"/>
          <w:szCs w:val="22"/>
        </w:rPr>
        <w:t xml:space="preserve"> </w:t>
      </w:r>
      <w:r w:rsidR="002133F2" w:rsidRPr="002133F2">
        <w:rPr>
          <w:rFonts w:ascii="Times New Roman" w:hAnsi="Times New Roman" w:cs="Times New Roman"/>
          <w:sz w:val="22"/>
          <w:szCs w:val="22"/>
        </w:rPr>
        <w:t>LSTM models consistently outperform Linear Ridge on both magnitude (MSE) and directional metrics.</w:t>
      </w:r>
      <w:r w:rsidR="002133F2">
        <w:rPr>
          <w:rFonts w:ascii="Times New Roman" w:hAnsi="Times New Roman" w:cs="Times New Roman"/>
          <w:sz w:val="22"/>
          <w:szCs w:val="22"/>
        </w:rPr>
        <w:t xml:space="preserve"> </w:t>
      </w:r>
      <w:r w:rsidR="002133F2" w:rsidRPr="002133F2">
        <w:rPr>
          <w:rFonts w:ascii="Times New Roman" w:hAnsi="Times New Roman" w:cs="Times New Roman"/>
          <w:sz w:val="22"/>
          <w:szCs w:val="22"/>
        </w:rPr>
        <w:t>The 12-month lookback offers the strongest and most stable predictive edge.</w:t>
      </w:r>
    </w:p>
    <w:p w14:paraId="61D902D9" w14:textId="2C1309B5" w:rsidR="00A42BC6" w:rsidRPr="002133F2" w:rsidRDefault="00A42BC6" w:rsidP="002133F2">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EW vs. MCW Trade-Off:</w:t>
      </w:r>
      <w:r w:rsidRPr="00ED2FCF">
        <w:rPr>
          <w:rFonts w:ascii="Times New Roman" w:hAnsi="Times New Roman" w:cs="Times New Roman"/>
          <w:sz w:val="22"/>
          <w:szCs w:val="22"/>
        </w:rPr>
        <w:t xml:space="preserve"> </w:t>
      </w:r>
      <w:r w:rsidR="002133F2" w:rsidRPr="002133F2">
        <w:rPr>
          <w:rFonts w:ascii="Times New Roman" w:hAnsi="Times New Roman" w:cs="Times New Roman"/>
          <w:sz w:val="22"/>
          <w:szCs w:val="22"/>
        </w:rPr>
        <w:t>EW amplifies theoretical alpha but is overwhelmed by liquidity and turnover costs.</w:t>
      </w:r>
      <w:r w:rsidR="002133F2">
        <w:rPr>
          <w:rFonts w:ascii="Times New Roman" w:hAnsi="Times New Roman" w:cs="Times New Roman"/>
          <w:sz w:val="22"/>
          <w:szCs w:val="22"/>
        </w:rPr>
        <w:t xml:space="preserve"> </w:t>
      </w:r>
      <w:r w:rsidR="002133F2" w:rsidRPr="002133F2">
        <w:rPr>
          <w:rFonts w:ascii="Times New Roman" w:hAnsi="Times New Roman" w:cs="Times New Roman"/>
          <w:sz w:val="22"/>
          <w:szCs w:val="22"/>
        </w:rPr>
        <w:t>MCW provides a realistic, institution-grade execution environment that preserves predictive value.</w:t>
      </w:r>
    </w:p>
    <w:p w14:paraId="5D4F21F6" w14:textId="35794267" w:rsidR="00A42BC6" w:rsidRPr="002133F2" w:rsidRDefault="00A42BC6" w:rsidP="002133F2">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Best Configuration Identified:</w:t>
      </w:r>
      <w:r w:rsidRPr="00ED2FCF">
        <w:rPr>
          <w:rFonts w:ascii="Times New Roman" w:hAnsi="Times New Roman" w:cs="Times New Roman"/>
          <w:sz w:val="22"/>
          <w:szCs w:val="22"/>
        </w:rPr>
        <w:t xml:space="preserve"> </w:t>
      </w:r>
      <w:r w:rsidR="002133F2" w:rsidRPr="002133F2">
        <w:rPr>
          <w:rFonts w:ascii="Times New Roman" w:hAnsi="Times New Roman" w:cs="Times New Roman"/>
          <w:sz w:val="22"/>
          <w:szCs w:val="22"/>
        </w:rPr>
        <w:t>LSTM (L=12, MCW) emerges as the highest Sharpe, highest Net return, and most interpretable configuration.</w:t>
      </w:r>
    </w:p>
    <w:p w14:paraId="2C95325D" w14:textId="14BB827D" w:rsidR="00A42BC6" w:rsidRPr="002133F2" w:rsidRDefault="00A42BC6" w:rsidP="002133F2">
      <w:pPr>
        <w:numPr>
          <w:ilvl w:val="0"/>
          <w:numId w:val="57"/>
        </w:numPr>
        <w:spacing w:after="100" w:afterAutospacing="1"/>
        <w:jc w:val="both"/>
        <w:rPr>
          <w:rFonts w:ascii="Times New Roman" w:hAnsi="Times New Roman" w:cs="Times New Roman"/>
          <w:sz w:val="22"/>
          <w:szCs w:val="22"/>
        </w:rPr>
      </w:pPr>
      <w:r w:rsidRPr="00ED2FCF">
        <w:rPr>
          <w:rFonts w:ascii="Times New Roman" w:hAnsi="Times New Roman" w:cs="Times New Roman"/>
          <w:b/>
          <w:bCs/>
          <w:sz w:val="22"/>
          <w:szCs w:val="22"/>
        </w:rPr>
        <w:t>Role of the Linear Benchmark:</w:t>
      </w:r>
      <w:r w:rsidRPr="00ED2FCF">
        <w:rPr>
          <w:rFonts w:ascii="Times New Roman" w:hAnsi="Times New Roman" w:cs="Times New Roman"/>
          <w:sz w:val="22"/>
          <w:szCs w:val="22"/>
        </w:rPr>
        <w:t xml:space="preserve"> </w:t>
      </w:r>
      <w:r w:rsidR="002133F2" w:rsidRPr="002133F2">
        <w:rPr>
          <w:rFonts w:ascii="Times New Roman" w:hAnsi="Times New Roman" w:cs="Times New Roman"/>
          <w:sz w:val="22"/>
          <w:szCs w:val="22"/>
        </w:rPr>
        <w:t>Linear Ridge remains a valid baseline but cannot model nonlinear or state-dependent dynamics.</w:t>
      </w:r>
      <w:r w:rsidR="002133F2">
        <w:rPr>
          <w:rFonts w:ascii="Times New Roman" w:hAnsi="Times New Roman" w:cs="Times New Roman"/>
          <w:sz w:val="22"/>
          <w:szCs w:val="22"/>
        </w:rPr>
        <w:t xml:space="preserve"> </w:t>
      </w:r>
      <w:r w:rsidR="002133F2" w:rsidRPr="002133F2">
        <w:rPr>
          <w:rFonts w:ascii="Times New Roman" w:hAnsi="Times New Roman" w:cs="Times New Roman"/>
          <w:sz w:val="22"/>
          <w:szCs w:val="22"/>
        </w:rPr>
        <w:t>Its predictive structure collapses under liquidity stress, especially in EW settings.</w:t>
      </w:r>
    </w:p>
    <w:p w14:paraId="72B9F01A" w14:textId="61207879" w:rsidR="00A42BC6" w:rsidRPr="00ED2FCF" w:rsidRDefault="00A42BC6" w:rsidP="00A42BC6">
      <w:pPr>
        <w:pStyle w:val="a9"/>
        <w:numPr>
          <w:ilvl w:val="1"/>
          <w:numId w:val="45"/>
        </w:numPr>
        <w:spacing w:after="100" w:afterAutospacing="1"/>
        <w:jc w:val="both"/>
        <w:outlineLvl w:val="2"/>
        <w:rPr>
          <w:rFonts w:ascii="Times New Roman" w:hAnsi="Times New Roman" w:cs="Times New Roman"/>
          <w:b/>
          <w:bCs/>
          <w:sz w:val="22"/>
          <w:szCs w:val="22"/>
        </w:rPr>
      </w:pPr>
      <w:r w:rsidRPr="00ED2FCF">
        <w:rPr>
          <w:rFonts w:ascii="Times New Roman" w:hAnsi="Times New Roman" w:cs="Times New Roman"/>
          <w:b/>
          <w:bCs/>
          <w:sz w:val="22"/>
          <w:szCs w:val="22"/>
        </w:rPr>
        <w:t>Limitations</w:t>
      </w:r>
    </w:p>
    <w:p w14:paraId="1A95315D" w14:textId="7866E43C" w:rsidR="004133BB" w:rsidRPr="004133BB" w:rsidRDefault="004133BB" w:rsidP="004133BB">
      <w:pPr>
        <w:spacing w:after="100" w:afterAutospacing="1"/>
        <w:jc w:val="both"/>
        <w:rPr>
          <w:rFonts w:ascii="Times New Roman" w:hAnsi="Times New Roman" w:cs="Times New Roman"/>
          <w:sz w:val="22"/>
          <w:szCs w:val="22"/>
        </w:rPr>
      </w:pPr>
      <w:r w:rsidRPr="004133BB">
        <w:rPr>
          <w:rFonts w:ascii="Times New Roman" w:hAnsi="Times New Roman" w:cs="Times New Roman"/>
          <w:sz w:val="22"/>
          <w:szCs w:val="22"/>
        </w:rPr>
        <w:t>Despite the robustness of the empirical design, several limitations constrain the generalizability and economic interpretability of the results:</w:t>
      </w:r>
    </w:p>
    <w:p w14:paraId="28B4299D" w14:textId="6A1D79F5" w:rsidR="004133BB" w:rsidRPr="004133BB" w:rsidRDefault="004133BB" w:rsidP="004133BB">
      <w:pPr>
        <w:numPr>
          <w:ilvl w:val="0"/>
          <w:numId w:val="57"/>
        </w:numPr>
        <w:spacing w:after="100" w:afterAutospacing="1"/>
        <w:jc w:val="both"/>
        <w:rPr>
          <w:rFonts w:ascii="Times New Roman" w:hAnsi="Times New Roman" w:cs="Times New Roman"/>
          <w:b/>
          <w:bCs/>
          <w:sz w:val="22"/>
          <w:szCs w:val="22"/>
        </w:rPr>
      </w:pPr>
      <w:r w:rsidRPr="004133BB">
        <w:rPr>
          <w:rFonts w:ascii="Times New Roman" w:hAnsi="Times New Roman" w:cs="Times New Roman"/>
          <w:b/>
          <w:bCs/>
          <w:sz w:val="22"/>
          <w:szCs w:val="22"/>
        </w:rPr>
        <w:t>Market-Dependence of Results</w:t>
      </w:r>
      <w:r w:rsidRPr="004133BB">
        <w:rPr>
          <w:rFonts w:ascii="Times New Roman" w:hAnsi="Times New Roman" w:cs="Times New Roman" w:hint="eastAsia"/>
          <w:b/>
          <w:bCs/>
          <w:sz w:val="22"/>
          <w:szCs w:val="22"/>
        </w:rPr>
        <w:t>：</w:t>
      </w:r>
      <w:r w:rsidRPr="004133BB">
        <w:rPr>
          <w:rFonts w:ascii="Times New Roman" w:hAnsi="Times New Roman" w:cs="Times New Roman"/>
          <w:sz w:val="22"/>
          <w:szCs w:val="22"/>
        </w:rPr>
        <w:t>The study focuses exclusively on U.S. large- and mid-cap equities.</w:t>
      </w:r>
      <w:r w:rsidRPr="004133BB">
        <w:rPr>
          <w:rFonts w:ascii="Times New Roman" w:hAnsi="Times New Roman" w:cs="Times New Roman" w:hint="eastAsia"/>
          <w:sz w:val="22"/>
          <w:szCs w:val="22"/>
        </w:rPr>
        <w:t xml:space="preserve"> </w:t>
      </w:r>
      <w:r w:rsidRPr="004133BB">
        <w:rPr>
          <w:rFonts w:ascii="Times New Roman" w:hAnsi="Times New Roman" w:cs="Times New Roman"/>
          <w:sz w:val="22"/>
          <w:szCs w:val="22"/>
        </w:rPr>
        <w:t>The superior performance of LSTM (L=12, MCW) may not directly transfer to markets with lower liquidity, stronger retail participation, or more frequent price limits.</w:t>
      </w:r>
      <w:r w:rsidRPr="004133BB">
        <w:rPr>
          <w:rFonts w:ascii="Times New Roman" w:hAnsi="Times New Roman" w:cs="Times New Roman" w:hint="eastAsia"/>
          <w:sz w:val="22"/>
          <w:szCs w:val="22"/>
        </w:rPr>
        <w:t xml:space="preserve"> </w:t>
      </w:r>
      <w:r w:rsidRPr="004133BB">
        <w:rPr>
          <w:rFonts w:ascii="Times New Roman" w:hAnsi="Times New Roman" w:cs="Times New Roman"/>
          <w:sz w:val="22"/>
          <w:szCs w:val="22"/>
        </w:rPr>
        <w:t>Cross-country validation is required before drawing broader conclusions.</w:t>
      </w:r>
    </w:p>
    <w:p w14:paraId="31583A12" w14:textId="341A6EA0" w:rsidR="004133BB" w:rsidRPr="004133BB" w:rsidRDefault="004133BB" w:rsidP="004133BB">
      <w:pPr>
        <w:numPr>
          <w:ilvl w:val="0"/>
          <w:numId w:val="57"/>
        </w:numPr>
        <w:spacing w:after="100" w:afterAutospacing="1"/>
        <w:jc w:val="both"/>
        <w:rPr>
          <w:rFonts w:ascii="Times New Roman" w:hAnsi="Times New Roman" w:cs="Times New Roman"/>
          <w:sz w:val="22"/>
          <w:szCs w:val="22"/>
        </w:rPr>
      </w:pPr>
      <w:r w:rsidRPr="004133BB">
        <w:rPr>
          <w:rFonts w:ascii="Times New Roman" w:hAnsi="Times New Roman" w:cs="Times New Roman"/>
          <w:b/>
          <w:bCs/>
          <w:sz w:val="22"/>
          <w:szCs w:val="22"/>
        </w:rPr>
        <w:lastRenderedPageBreak/>
        <w:t>Sensitivity to Liquidity and Transaction Costs</w:t>
      </w:r>
      <w:r w:rsidRPr="004133BB">
        <w:rPr>
          <w:rFonts w:ascii="Times New Roman" w:hAnsi="Times New Roman" w:cs="Times New Roman" w:hint="eastAsia"/>
          <w:b/>
          <w:bCs/>
          <w:sz w:val="22"/>
          <w:szCs w:val="22"/>
        </w:rPr>
        <w:t>：</w:t>
      </w:r>
      <w:r w:rsidRPr="004133BB">
        <w:rPr>
          <w:rFonts w:ascii="Times New Roman" w:hAnsi="Times New Roman" w:cs="Times New Roman"/>
          <w:sz w:val="22"/>
          <w:szCs w:val="22"/>
        </w:rPr>
        <w:t>EW performance collapses entirely under realistic Corwin–Schultz spreads, and even MCW performance is highly sensitive to turnover assumptions.</w:t>
      </w:r>
      <w:r w:rsidRPr="004133BB">
        <w:rPr>
          <w:rFonts w:ascii="Times New Roman" w:hAnsi="Times New Roman" w:cs="Times New Roman" w:hint="eastAsia"/>
          <w:sz w:val="22"/>
          <w:szCs w:val="22"/>
        </w:rPr>
        <w:t xml:space="preserve"> </w:t>
      </w:r>
      <w:r w:rsidRPr="004133BB">
        <w:rPr>
          <w:rFonts w:ascii="Times New Roman" w:hAnsi="Times New Roman" w:cs="Times New Roman"/>
          <w:sz w:val="22"/>
          <w:szCs w:val="22"/>
        </w:rPr>
        <w:t>While MCW provides a stable execution environment, real-world frictions—such as market-impact costs, partial fills, and intraday volatility—are not explicitly modeled.</w:t>
      </w:r>
    </w:p>
    <w:p w14:paraId="69E8A168" w14:textId="2E0885A5" w:rsidR="004133BB" w:rsidRPr="004133BB" w:rsidRDefault="004133BB" w:rsidP="004133BB">
      <w:pPr>
        <w:numPr>
          <w:ilvl w:val="0"/>
          <w:numId w:val="57"/>
        </w:numPr>
        <w:spacing w:after="100" w:afterAutospacing="1"/>
        <w:jc w:val="both"/>
        <w:rPr>
          <w:rFonts w:ascii="Times New Roman" w:hAnsi="Times New Roman" w:cs="Times New Roman"/>
          <w:sz w:val="22"/>
          <w:szCs w:val="22"/>
        </w:rPr>
      </w:pPr>
      <w:r w:rsidRPr="004133BB">
        <w:rPr>
          <w:rFonts w:ascii="Times New Roman" w:hAnsi="Times New Roman" w:cs="Times New Roman"/>
          <w:b/>
          <w:bCs/>
          <w:sz w:val="22"/>
          <w:szCs w:val="22"/>
        </w:rPr>
        <w:t>Predictive Signal Weakness</w:t>
      </w:r>
      <w:r w:rsidRPr="004133BB">
        <w:rPr>
          <w:rFonts w:ascii="Times New Roman" w:hAnsi="Times New Roman" w:cs="Times New Roman" w:hint="eastAsia"/>
          <w:b/>
          <w:bCs/>
          <w:sz w:val="22"/>
          <w:szCs w:val="22"/>
        </w:rPr>
        <w:t>：</w:t>
      </w:r>
      <w:r w:rsidRPr="004133BB">
        <w:rPr>
          <w:rFonts w:ascii="Times New Roman" w:hAnsi="Times New Roman" w:cs="Times New Roman"/>
          <w:sz w:val="22"/>
          <w:szCs w:val="22"/>
        </w:rPr>
        <w:t>Directional accuracy across models remains modest (≈48%–50%).</w:t>
      </w:r>
      <w:r w:rsidRPr="004133BB">
        <w:rPr>
          <w:rFonts w:ascii="Times New Roman" w:hAnsi="Times New Roman" w:cs="Times New Roman" w:hint="eastAsia"/>
          <w:sz w:val="22"/>
          <w:szCs w:val="22"/>
        </w:rPr>
        <w:t xml:space="preserve"> </w:t>
      </w:r>
      <w:r w:rsidRPr="004133BB">
        <w:rPr>
          <w:rFonts w:ascii="Times New Roman" w:hAnsi="Times New Roman" w:cs="Times New Roman"/>
          <w:sz w:val="22"/>
          <w:szCs w:val="22"/>
        </w:rPr>
        <w:t>Although the LSTM improves upon the linear baseline, the edge is incremental and may degrade under alternative market regimes or with more volatile macro environments.</w:t>
      </w:r>
    </w:p>
    <w:p w14:paraId="4DDF2A35" w14:textId="442F3782" w:rsidR="004133BB" w:rsidRPr="004133BB" w:rsidRDefault="004133BB" w:rsidP="004133BB">
      <w:pPr>
        <w:numPr>
          <w:ilvl w:val="0"/>
          <w:numId w:val="57"/>
        </w:numPr>
        <w:spacing w:after="100" w:afterAutospacing="1"/>
        <w:jc w:val="both"/>
        <w:rPr>
          <w:rFonts w:ascii="Times New Roman" w:hAnsi="Times New Roman" w:cs="Times New Roman"/>
          <w:b/>
          <w:bCs/>
          <w:sz w:val="22"/>
          <w:szCs w:val="22"/>
        </w:rPr>
      </w:pPr>
      <w:r w:rsidRPr="004133BB">
        <w:rPr>
          <w:rFonts w:ascii="Times New Roman" w:hAnsi="Times New Roman" w:cs="Times New Roman"/>
          <w:b/>
          <w:bCs/>
          <w:sz w:val="22"/>
          <w:szCs w:val="22"/>
        </w:rPr>
        <w:t xml:space="preserve">Lookback-Window Dependence: </w:t>
      </w:r>
      <w:r w:rsidRPr="004133BB">
        <w:rPr>
          <w:rFonts w:ascii="Times New Roman" w:hAnsi="Times New Roman" w:cs="Times New Roman"/>
          <w:sz w:val="22"/>
          <w:szCs w:val="22"/>
        </w:rPr>
        <w:t>Performance varies meaningfully with lookback length. The 12-month window proves optimal in this dataset, while the 6-month signals are noisy and the 24-month signals become diluted. These sensitivities highlight the need for adaptive or data-driven horizon selection rather than fixed windows.</w:t>
      </w:r>
    </w:p>
    <w:p w14:paraId="41C42D27" w14:textId="3D54F82D" w:rsidR="004133BB" w:rsidRPr="004133BB" w:rsidRDefault="004133BB" w:rsidP="004133BB">
      <w:pPr>
        <w:numPr>
          <w:ilvl w:val="0"/>
          <w:numId w:val="57"/>
        </w:numPr>
        <w:spacing w:after="100" w:afterAutospacing="1"/>
        <w:jc w:val="both"/>
        <w:rPr>
          <w:rFonts w:ascii="Times New Roman" w:hAnsi="Times New Roman" w:cs="Times New Roman"/>
          <w:b/>
          <w:bCs/>
          <w:sz w:val="22"/>
          <w:szCs w:val="22"/>
        </w:rPr>
      </w:pPr>
      <w:r w:rsidRPr="004133BB">
        <w:rPr>
          <w:rFonts w:ascii="Times New Roman" w:hAnsi="Times New Roman" w:cs="Times New Roman"/>
          <w:b/>
          <w:bCs/>
          <w:sz w:val="22"/>
          <w:szCs w:val="22"/>
        </w:rPr>
        <w:t xml:space="preserve">Modeling Constraints: </w:t>
      </w:r>
      <w:r w:rsidRPr="004133BB">
        <w:rPr>
          <w:rFonts w:ascii="Times New Roman" w:hAnsi="Times New Roman" w:cs="Times New Roman"/>
          <w:sz w:val="22"/>
          <w:szCs w:val="22"/>
        </w:rPr>
        <w:t xml:space="preserve">The study does not consider leverage, </w:t>
      </w:r>
      <w:proofErr w:type="gramStart"/>
      <w:r w:rsidRPr="004133BB">
        <w:rPr>
          <w:rFonts w:ascii="Times New Roman" w:hAnsi="Times New Roman" w:cs="Times New Roman"/>
          <w:sz w:val="22"/>
          <w:szCs w:val="22"/>
        </w:rPr>
        <w:t>short-selling</w:t>
      </w:r>
      <w:proofErr w:type="gramEnd"/>
      <w:r w:rsidRPr="004133BB">
        <w:rPr>
          <w:rFonts w:ascii="Times New Roman" w:hAnsi="Times New Roman" w:cs="Times New Roman"/>
          <w:sz w:val="22"/>
          <w:szCs w:val="22"/>
        </w:rPr>
        <w:t>, intramonth rebalancing, or transaction limits. The LSTM architecture is relatively simple; more advanced sequence models (Transformers, temporal attention, multi-horizon predictors) may produce different results.</w:t>
      </w:r>
    </w:p>
    <w:p w14:paraId="596A8A50" w14:textId="31FDF139" w:rsidR="00E60A80" w:rsidRPr="004133BB" w:rsidRDefault="004133BB" w:rsidP="004133BB">
      <w:pPr>
        <w:numPr>
          <w:ilvl w:val="0"/>
          <w:numId w:val="57"/>
        </w:numPr>
        <w:spacing w:after="100" w:afterAutospacing="1"/>
        <w:jc w:val="both"/>
        <w:rPr>
          <w:rFonts w:ascii="Times New Roman" w:hAnsi="Times New Roman" w:cs="Times New Roman"/>
          <w:b/>
          <w:bCs/>
          <w:sz w:val="22"/>
          <w:szCs w:val="22"/>
        </w:rPr>
      </w:pPr>
      <w:r w:rsidRPr="004133BB">
        <w:rPr>
          <w:rFonts w:ascii="Times New Roman" w:hAnsi="Times New Roman" w:cs="Times New Roman"/>
          <w:b/>
          <w:bCs/>
          <w:sz w:val="22"/>
          <w:szCs w:val="22"/>
        </w:rPr>
        <w:t xml:space="preserve">Limited Feature Scope and Economic Drivers: </w:t>
      </w:r>
      <w:r w:rsidRPr="004133BB">
        <w:rPr>
          <w:rFonts w:ascii="Times New Roman" w:hAnsi="Times New Roman" w:cs="Times New Roman"/>
          <w:sz w:val="22"/>
          <w:szCs w:val="22"/>
        </w:rPr>
        <w:t>Although the LSTM incorporates nonlinear interactions, the feature set is still modest (rates, VIX, momentum, microstructure). Broader macroeconomic inputs—liquidity cycles, credit spreads, cross-asset flows—could materially affect performance.</w:t>
      </w:r>
    </w:p>
    <w:sectPr w:rsidR="00E60A80" w:rsidRPr="004133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BE0FC0"/>
    <w:multiLevelType w:val="multilevel"/>
    <w:tmpl w:val="B3182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62CB8"/>
    <w:multiLevelType w:val="multilevel"/>
    <w:tmpl w:val="A8D8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52D2C"/>
    <w:multiLevelType w:val="multilevel"/>
    <w:tmpl w:val="64F6CD36"/>
    <w:lvl w:ilvl="0">
      <w:start w:val="4"/>
      <w:numFmt w:val="decimal"/>
      <w:lvlText w:val="%1"/>
      <w:lvlJc w:val="left"/>
      <w:pPr>
        <w:ind w:left="400" w:hanging="400"/>
      </w:pPr>
      <w:rPr>
        <w:rFonts w:hint="default"/>
      </w:rPr>
    </w:lvl>
    <w:lvl w:ilvl="1">
      <w:start w:val="4"/>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B6D7E84"/>
    <w:multiLevelType w:val="multilevel"/>
    <w:tmpl w:val="D2F6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758F6"/>
    <w:multiLevelType w:val="multilevel"/>
    <w:tmpl w:val="272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E6084D"/>
    <w:multiLevelType w:val="multilevel"/>
    <w:tmpl w:val="416A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3C0221"/>
    <w:multiLevelType w:val="multilevel"/>
    <w:tmpl w:val="9F22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6203FB"/>
    <w:multiLevelType w:val="multilevel"/>
    <w:tmpl w:val="D8D64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211BCE"/>
    <w:multiLevelType w:val="multilevel"/>
    <w:tmpl w:val="C912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A14F53"/>
    <w:multiLevelType w:val="multilevel"/>
    <w:tmpl w:val="E062CB06"/>
    <w:lvl w:ilvl="0">
      <w:start w:val="5"/>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7AD6A72"/>
    <w:multiLevelType w:val="multilevel"/>
    <w:tmpl w:val="2F4ABA6E"/>
    <w:lvl w:ilvl="0">
      <w:start w:val="1"/>
      <w:numFmt w:val="lowerLetter"/>
      <w:lvlText w:val="%1)"/>
      <w:lvlJc w:val="left"/>
      <w:pPr>
        <w:tabs>
          <w:tab w:val="num" w:pos="720"/>
        </w:tabs>
        <w:ind w:left="720" w:hanging="360"/>
      </w:pPr>
      <w:rPr>
        <w:rFonts w:ascii="Times New Roman" w:eastAsia="宋体"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FA5284"/>
    <w:multiLevelType w:val="multilevel"/>
    <w:tmpl w:val="C1FE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AE47A7"/>
    <w:multiLevelType w:val="multilevel"/>
    <w:tmpl w:val="4138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A6A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5346E3E"/>
    <w:multiLevelType w:val="multilevel"/>
    <w:tmpl w:val="8BA47B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53F1D1D"/>
    <w:multiLevelType w:val="multilevel"/>
    <w:tmpl w:val="4904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5471DE"/>
    <w:multiLevelType w:val="multilevel"/>
    <w:tmpl w:val="66821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C03731"/>
    <w:multiLevelType w:val="multilevel"/>
    <w:tmpl w:val="31C0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24122"/>
    <w:multiLevelType w:val="multilevel"/>
    <w:tmpl w:val="EC84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485232"/>
    <w:multiLevelType w:val="multilevel"/>
    <w:tmpl w:val="1A32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B96B03"/>
    <w:multiLevelType w:val="multilevel"/>
    <w:tmpl w:val="592A1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BA7D6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35F52AC8"/>
    <w:multiLevelType w:val="multilevel"/>
    <w:tmpl w:val="CFB29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1E5A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3B02756F"/>
    <w:multiLevelType w:val="multilevel"/>
    <w:tmpl w:val="E5023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9635F1"/>
    <w:multiLevelType w:val="multilevel"/>
    <w:tmpl w:val="424E2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997E22"/>
    <w:multiLevelType w:val="multilevel"/>
    <w:tmpl w:val="72ACC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1C22D0"/>
    <w:multiLevelType w:val="multilevel"/>
    <w:tmpl w:val="9BB4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813015"/>
    <w:multiLevelType w:val="multilevel"/>
    <w:tmpl w:val="AADEA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EC10B4"/>
    <w:multiLevelType w:val="multilevel"/>
    <w:tmpl w:val="0C7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AE0B7C"/>
    <w:multiLevelType w:val="multilevel"/>
    <w:tmpl w:val="8A58C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EE7B56"/>
    <w:multiLevelType w:val="multilevel"/>
    <w:tmpl w:val="CB7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F50F42"/>
    <w:multiLevelType w:val="multilevel"/>
    <w:tmpl w:val="38F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415CD5"/>
    <w:multiLevelType w:val="multilevel"/>
    <w:tmpl w:val="41F26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FC523A"/>
    <w:multiLevelType w:val="multilevel"/>
    <w:tmpl w:val="7CE2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3417E3"/>
    <w:multiLevelType w:val="multilevel"/>
    <w:tmpl w:val="48F89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FF44A5"/>
    <w:multiLevelType w:val="multilevel"/>
    <w:tmpl w:val="4A38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4544D5"/>
    <w:multiLevelType w:val="hybridMultilevel"/>
    <w:tmpl w:val="50DC90BE"/>
    <w:lvl w:ilvl="0" w:tplc="0409000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56F001FB"/>
    <w:multiLevelType w:val="multilevel"/>
    <w:tmpl w:val="3D8C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CF7E10"/>
    <w:multiLevelType w:val="multilevel"/>
    <w:tmpl w:val="1B9C8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795AAB"/>
    <w:multiLevelType w:val="multilevel"/>
    <w:tmpl w:val="243C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C53DEA"/>
    <w:multiLevelType w:val="multilevel"/>
    <w:tmpl w:val="02EA2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374B0C"/>
    <w:multiLevelType w:val="multilevel"/>
    <w:tmpl w:val="BBCC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3A2D8C"/>
    <w:multiLevelType w:val="multilevel"/>
    <w:tmpl w:val="2E78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F42A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66CB4541"/>
    <w:multiLevelType w:val="multilevel"/>
    <w:tmpl w:val="2F90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451F6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15:restartNumberingAfterBreak="0">
    <w:nsid w:val="6B254289"/>
    <w:multiLevelType w:val="multilevel"/>
    <w:tmpl w:val="69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EB4784"/>
    <w:multiLevelType w:val="multilevel"/>
    <w:tmpl w:val="A80A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36425F"/>
    <w:multiLevelType w:val="hybridMultilevel"/>
    <w:tmpl w:val="0B60A56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711335BE"/>
    <w:multiLevelType w:val="multilevel"/>
    <w:tmpl w:val="CF18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157EE5"/>
    <w:multiLevelType w:val="multilevel"/>
    <w:tmpl w:val="E8EC4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8F6E88"/>
    <w:multiLevelType w:val="multilevel"/>
    <w:tmpl w:val="8BA47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040940"/>
    <w:multiLevelType w:val="multilevel"/>
    <w:tmpl w:val="26480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77DED"/>
    <w:multiLevelType w:val="multilevel"/>
    <w:tmpl w:val="6AFC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102FEC"/>
    <w:multiLevelType w:val="multilevel"/>
    <w:tmpl w:val="5A8AE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747023">
    <w:abstractNumId w:val="0"/>
  </w:num>
  <w:num w:numId="2" w16cid:durableId="723989026">
    <w:abstractNumId w:val="1"/>
  </w:num>
  <w:num w:numId="3" w16cid:durableId="131757450">
    <w:abstractNumId w:val="2"/>
  </w:num>
  <w:num w:numId="4" w16cid:durableId="2106147745">
    <w:abstractNumId w:val="3"/>
  </w:num>
  <w:num w:numId="5" w16cid:durableId="740760558">
    <w:abstractNumId w:val="4"/>
  </w:num>
  <w:num w:numId="6" w16cid:durableId="826746558">
    <w:abstractNumId w:val="5"/>
  </w:num>
  <w:num w:numId="7" w16cid:durableId="1917668001">
    <w:abstractNumId w:val="6"/>
  </w:num>
  <w:num w:numId="8" w16cid:durableId="1233394116">
    <w:abstractNumId w:val="7"/>
  </w:num>
  <w:num w:numId="9" w16cid:durableId="654072635">
    <w:abstractNumId w:val="8"/>
  </w:num>
  <w:num w:numId="10" w16cid:durableId="889270756">
    <w:abstractNumId w:val="9"/>
  </w:num>
  <w:num w:numId="11" w16cid:durableId="1169101784">
    <w:abstractNumId w:val="10"/>
  </w:num>
  <w:num w:numId="12" w16cid:durableId="107892924">
    <w:abstractNumId w:val="11"/>
  </w:num>
  <w:num w:numId="13" w16cid:durableId="498352943">
    <w:abstractNumId w:val="26"/>
  </w:num>
  <w:num w:numId="14" w16cid:durableId="828403502">
    <w:abstractNumId w:val="43"/>
  </w:num>
  <w:num w:numId="15" w16cid:durableId="1026979753">
    <w:abstractNumId w:val="28"/>
  </w:num>
  <w:num w:numId="16" w16cid:durableId="986589434">
    <w:abstractNumId w:val="19"/>
  </w:num>
  <w:num w:numId="17" w16cid:durableId="692347049">
    <w:abstractNumId w:val="42"/>
  </w:num>
  <w:num w:numId="18" w16cid:durableId="2036498297">
    <w:abstractNumId w:val="15"/>
  </w:num>
  <w:num w:numId="19" w16cid:durableId="1757938725">
    <w:abstractNumId w:val="16"/>
  </w:num>
  <w:num w:numId="20" w16cid:durableId="1890067448">
    <w:abstractNumId w:val="31"/>
  </w:num>
  <w:num w:numId="21" w16cid:durableId="1338847791">
    <w:abstractNumId w:val="18"/>
  </w:num>
  <w:num w:numId="22" w16cid:durableId="758990721">
    <w:abstractNumId w:val="66"/>
  </w:num>
  <w:num w:numId="23" w16cid:durableId="1148016048">
    <w:abstractNumId w:val="57"/>
  </w:num>
  <w:num w:numId="24" w16cid:durableId="178158599">
    <w:abstractNumId w:val="48"/>
  </w:num>
  <w:num w:numId="25" w16cid:durableId="2066489415">
    <w:abstractNumId w:val="52"/>
  </w:num>
  <w:num w:numId="26" w16cid:durableId="505747724">
    <w:abstractNumId w:val="63"/>
  </w:num>
  <w:num w:numId="27" w16cid:durableId="1001271877">
    <w:abstractNumId w:val="24"/>
  </w:num>
  <w:num w:numId="28" w16cid:durableId="1662925914">
    <w:abstractNumId w:val="30"/>
  </w:num>
  <w:num w:numId="29" w16cid:durableId="68429391">
    <w:abstractNumId w:val="20"/>
  </w:num>
  <w:num w:numId="30" w16cid:durableId="972177447">
    <w:abstractNumId w:val="59"/>
  </w:num>
  <w:num w:numId="31" w16cid:durableId="1073047847">
    <w:abstractNumId w:val="50"/>
  </w:num>
  <w:num w:numId="32" w16cid:durableId="733697950">
    <w:abstractNumId w:val="51"/>
  </w:num>
  <w:num w:numId="33" w16cid:durableId="369913391">
    <w:abstractNumId w:val="23"/>
  </w:num>
  <w:num w:numId="34" w16cid:durableId="487598175">
    <w:abstractNumId w:val="44"/>
  </w:num>
  <w:num w:numId="35" w16cid:durableId="1256865489">
    <w:abstractNumId w:val="60"/>
  </w:num>
  <w:num w:numId="36" w16cid:durableId="1888299029">
    <w:abstractNumId w:val="17"/>
  </w:num>
  <w:num w:numId="37" w16cid:durableId="1391805913">
    <w:abstractNumId w:val="46"/>
  </w:num>
  <w:num w:numId="38" w16cid:durableId="1132939058">
    <w:abstractNumId w:val="54"/>
  </w:num>
  <w:num w:numId="39" w16cid:durableId="1591549836">
    <w:abstractNumId w:val="22"/>
  </w:num>
  <w:num w:numId="40" w16cid:durableId="363796943">
    <w:abstractNumId w:val="13"/>
  </w:num>
  <w:num w:numId="41" w16cid:durableId="1550191802">
    <w:abstractNumId w:val="40"/>
  </w:num>
  <w:num w:numId="42" w16cid:durableId="1269047519">
    <w:abstractNumId w:val="55"/>
  </w:num>
  <w:num w:numId="43" w16cid:durableId="731778463">
    <w:abstractNumId w:val="37"/>
  </w:num>
  <w:num w:numId="44" w16cid:durableId="1906719093">
    <w:abstractNumId w:val="61"/>
  </w:num>
  <w:num w:numId="45" w16cid:durableId="1347711698">
    <w:abstractNumId w:val="25"/>
  </w:num>
  <w:num w:numId="46" w16cid:durableId="1947811301">
    <w:abstractNumId w:val="49"/>
  </w:num>
  <w:num w:numId="47" w16cid:durableId="1275559749">
    <w:abstractNumId w:val="56"/>
  </w:num>
  <w:num w:numId="48" w16cid:durableId="513760983">
    <w:abstractNumId w:val="33"/>
  </w:num>
  <w:num w:numId="49" w16cid:durableId="876427432">
    <w:abstractNumId w:val="35"/>
  </w:num>
  <w:num w:numId="50" w16cid:durableId="38745333">
    <w:abstractNumId w:val="58"/>
  </w:num>
  <w:num w:numId="51" w16cid:durableId="1895121242">
    <w:abstractNumId w:val="39"/>
  </w:num>
  <w:num w:numId="52" w16cid:durableId="1018432313">
    <w:abstractNumId w:val="47"/>
  </w:num>
  <w:num w:numId="53" w16cid:durableId="719980104">
    <w:abstractNumId w:val="41"/>
  </w:num>
  <w:num w:numId="54" w16cid:durableId="2122608952">
    <w:abstractNumId w:val="29"/>
  </w:num>
  <w:num w:numId="55" w16cid:durableId="1586762659">
    <w:abstractNumId w:val="32"/>
  </w:num>
  <w:num w:numId="56" w16cid:durableId="139202307">
    <w:abstractNumId w:val="12"/>
  </w:num>
  <w:num w:numId="57" w16cid:durableId="102462220">
    <w:abstractNumId w:val="38"/>
  </w:num>
  <w:num w:numId="58" w16cid:durableId="1276016031">
    <w:abstractNumId w:val="53"/>
  </w:num>
  <w:num w:numId="59" w16cid:durableId="939799099">
    <w:abstractNumId w:val="34"/>
  </w:num>
  <w:num w:numId="60" w16cid:durableId="855311297">
    <w:abstractNumId w:val="45"/>
  </w:num>
  <w:num w:numId="61" w16cid:durableId="1147815813">
    <w:abstractNumId w:val="36"/>
  </w:num>
  <w:num w:numId="62" w16cid:durableId="388963306">
    <w:abstractNumId w:val="64"/>
  </w:num>
  <w:num w:numId="63" w16cid:durableId="192153280">
    <w:abstractNumId w:val="27"/>
  </w:num>
  <w:num w:numId="64" w16cid:durableId="1960255519">
    <w:abstractNumId w:val="65"/>
  </w:num>
  <w:num w:numId="65" w16cid:durableId="1759711684">
    <w:abstractNumId w:val="62"/>
  </w:num>
  <w:num w:numId="66" w16cid:durableId="288323019">
    <w:abstractNumId w:val="21"/>
  </w:num>
  <w:num w:numId="67" w16cid:durableId="454643268">
    <w:abstractNumId w:val="14"/>
  </w:num>
  <w:num w:numId="68" w16cid:durableId="654340216">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A80"/>
    <w:rsid w:val="00001341"/>
    <w:rsid w:val="000155D1"/>
    <w:rsid w:val="00033C9C"/>
    <w:rsid w:val="00057E6D"/>
    <w:rsid w:val="000B2F70"/>
    <w:rsid w:val="00134128"/>
    <w:rsid w:val="00161A98"/>
    <w:rsid w:val="001C07F5"/>
    <w:rsid w:val="001F4013"/>
    <w:rsid w:val="00203C2F"/>
    <w:rsid w:val="002133F2"/>
    <w:rsid w:val="00291D0F"/>
    <w:rsid w:val="002D182A"/>
    <w:rsid w:val="00341F10"/>
    <w:rsid w:val="003A1F53"/>
    <w:rsid w:val="003C0BA2"/>
    <w:rsid w:val="003D7DC4"/>
    <w:rsid w:val="004133BB"/>
    <w:rsid w:val="00435632"/>
    <w:rsid w:val="00441D0E"/>
    <w:rsid w:val="004A0C25"/>
    <w:rsid w:val="004D453A"/>
    <w:rsid w:val="004E4FC4"/>
    <w:rsid w:val="004F14B4"/>
    <w:rsid w:val="004F6563"/>
    <w:rsid w:val="00536970"/>
    <w:rsid w:val="005419A9"/>
    <w:rsid w:val="00555E0B"/>
    <w:rsid w:val="0057298C"/>
    <w:rsid w:val="00597992"/>
    <w:rsid w:val="005B57D6"/>
    <w:rsid w:val="00605B5E"/>
    <w:rsid w:val="00632DB6"/>
    <w:rsid w:val="006415A1"/>
    <w:rsid w:val="0068406D"/>
    <w:rsid w:val="006F2EA2"/>
    <w:rsid w:val="007206E3"/>
    <w:rsid w:val="00780E82"/>
    <w:rsid w:val="008141CB"/>
    <w:rsid w:val="00821C54"/>
    <w:rsid w:val="00863995"/>
    <w:rsid w:val="008A1305"/>
    <w:rsid w:val="00907DFB"/>
    <w:rsid w:val="00950115"/>
    <w:rsid w:val="00950248"/>
    <w:rsid w:val="009878AB"/>
    <w:rsid w:val="00995533"/>
    <w:rsid w:val="00997DDA"/>
    <w:rsid w:val="009A1BD0"/>
    <w:rsid w:val="00A109EC"/>
    <w:rsid w:val="00A42BC6"/>
    <w:rsid w:val="00A6022B"/>
    <w:rsid w:val="00AB3AC7"/>
    <w:rsid w:val="00AE70D0"/>
    <w:rsid w:val="00B01C60"/>
    <w:rsid w:val="00B13D85"/>
    <w:rsid w:val="00B46FBC"/>
    <w:rsid w:val="00B752C4"/>
    <w:rsid w:val="00B77E71"/>
    <w:rsid w:val="00BA1285"/>
    <w:rsid w:val="00C13877"/>
    <w:rsid w:val="00C17F96"/>
    <w:rsid w:val="00C305A9"/>
    <w:rsid w:val="00C56BED"/>
    <w:rsid w:val="00C70677"/>
    <w:rsid w:val="00CC3304"/>
    <w:rsid w:val="00CD5E8B"/>
    <w:rsid w:val="00CE2393"/>
    <w:rsid w:val="00CF3E42"/>
    <w:rsid w:val="00D06C10"/>
    <w:rsid w:val="00D5003B"/>
    <w:rsid w:val="00D77D1F"/>
    <w:rsid w:val="00DB01EA"/>
    <w:rsid w:val="00DC0CCD"/>
    <w:rsid w:val="00DC53E3"/>
    <w:rsid w:val="00DD33C4"/>
    <w:rsid w:val="00DD3895"/>
    <w:rsid w:val="00E17CF0"/>
    <w:rsid w:val="00E25E53"/>
    <w:rsid w:val="00E364CD"/>
    <w:rsid w:val="00E60A80"/>
    <w:rsid w:val="00E77355"/>
    <w:rsid w:val="00E81D04"/>
    <w:rsid w:val="00ED2FCF"/>
    <w:rsid w:val="00F12684"/>
    <w:rsid w:val="00F50B27"/>
    <w:rsid w:val="00F742E2"/>
    <w:rsid w:val="00FA0F75"/>
    <w:rsid w:val="00FB1FAA"/>
    <w:rsid w:val="00FC23EA"/>
    <w:rsid w:val="00FF0584"/>
    <w:rsid w:val="00FF2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AB05A0"/>
  <w15:chartTrackingRefBased/>
  <w15:docId w15:val="{A2BCE355-05D7-164C-85E2-05FDB5EC6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A98"/>
    <w:pPr>
      <w:spacing w:after="0" w:line="240" w:lineRule="auto"/>
    </w:pPr>
    <w:rPr>
      <w:rFonts w:ascii="宋体" w:eastAsia="宋体" w:hAnsi="宋体" w:cs="宋体"/>
      <w:kern w:val="0"/>
      <w:sz w:val="24"/>
      <w14:ligatures w14:val="none"/>
    </w:rPr>
  </w:style>
  <w:style w:type="paragraph" w:styleId="1">
    <w:name w:val="heading 1"/>
    <w:basedOn w:val="a"/>
    <w:next w:val="a"/>
    <w:link w:val="10"/>
    <w:uiPriority w:val="9"/>
    <w:qFormat/>
    <w:rsid w:val="00E60A8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E60A8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E60A8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E60A8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60A8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E60A8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60A8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60A8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60A8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0A8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E60A8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E60A8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E60A80"/>
    <w:rPr>
      <w:rFonts w:cstheme="majorBidi"/>
      <w:color w:val="0F4761" w:themeColor="accent1" w:themeShade="BF"/>
      <w:sz w:val="28"/>
      <w:szCs w:val="28"/>
    </w:rPr>
  </w:style>
  <w:style w:type="character" w:customStyle="1" w:styleId="50">
    <w:name w:val="标题 5 字符"/>
    <w:basedOn w:val="a0"/>
    <w:link w:val="5"/>
    <w:uiPriority w:val="9"/>
    <w:semiHidden/>
    <w:rsid w:val="00E60A80"/>
    <w:rPr>
      <w:rFonts w:cstheme="majorBidi"/>
      <w:color w:val="0F4761" w:themeColor="accent1" w:themeShade="BF"/>
      <w:sz w:val="24"/>
    </w:rPr>
  </w:style>
  <w:style w:type="character" w:customStyle="1" w:styleId="60">
    <w:name w:val="标题 6 字符"/>
    <w:basedOn w:val="a0"/>
    <w:link w:val="6"/>
    <w:uiPriority w:val="9"/>
    <w:semiHidden/>
    <w:rsid w:val="00E60A80"/>
    <w:rPr>
      <w:rFonts w:cstheme="majorBidi"/>
      <w:b/>
      <w:bCs/>
      <w:color w:val="0F4761" w:themeColor="accent1" w:themeShade="BF"/>
    </w:rPr>
  </w:style>
  <w:style w:type="character" w:customStyle="1" w:styleId="70">
    <w:name w:val="标题 7 字符"/>
    <w:basedOn w:val="a0"/>
    <w:link w:val="7"/>
    <w:uiPriority w:val="9"/>
    <w:semiHidden/>
    <w:rsid w:val="00E60A80"/>
    <w:rPr>
      <w:rFonts w:cstheme="majorBidi"/>
      <w:b/>
      <w:bCs/>
      <w:color w:val="595959" w:themeColor="text1" w:themeTint="A6"/>
    </w:rPr>
  </w:style>
  <w:style w:type="character" w:customStyle="1" w:styleId="80">
    <w:name w:val="标题 8 字符"/>
    <w:basedOn w:val="a0"/>
    <w:link w:val="8"/>
    <w:uiPriority w:val="9"/>
    <w:semiHidden/>
    <w:rsid w:val="00E60A80"/>
    <w:rPr>
      <w:rFonts w:cstheme="majorBidi"/>
      <w:color w:val="595959" w:themeColor="text1" w:themeTint="A6"/>
    </w:rPr>
  </w:style>
  <w:style w:type="character" w:customStyle="1" w:styleId="90">
    <w:name w:val="标题 9 字符"/>
    <w:basedOn w:val="a0"/>
    <w:link w:val="9"/>
    <w:uiPriority w:val="9"/>
    <w:semiHidden/>
    <w:rsid w:val="00E60A80"/>
    <w:rPr>
      <w:rFonts w:eastAsiaTheme="majorEastAsia" w:cstheme="majorBidi"/>
      <w:color w:val="595959" w:themeColor="text1" w:themeTint="A6"/>
    </w:rPr>
  </w:style>
  <w:style w:type="paragraph" w:styleId="a3">
    <w:name w:val="Title"/>
    <w:basedOn w:val="a"/>
    <w:next w:val="a"/>
    <w:link w:val="a4"/>
    <w:uiPriority w:val="10"/>
    <w:qFormat/>
    <w:rsid w:val="00E60A8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60A8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60A8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60A8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60A80"/>
    <w:pPr>
      <w:spacing w:before="160"/>
      <w:jc w:val="center"/>
    </w:pPr>
    <w:rPr>
      <w:i/>
      <w:iCs/>
      <w:color w:val="404040" w:themeColor="text1" w:themeTint="BF"/>
    </w:rPr>
  </w:style>
  <w:style w:type="character" w:customStyle="1" w:styleId="a8">
    <w:name w:val="引用 字符"/>
    <w:basedOn w:val="a0"/>
    <w:link w:val="a7"/>
    <w:uiPriority w:val="29"/>
    <w:rsid w:val="00E60A80"/>
    <w:rPr>
      <w:i/>
      <w:iCs/>
      <w:color w:val="404040" w:themeColor="text1" w:themeTint="BF"/>
    </w:rPr>
  </w:style>
  <w:style w:type="paragraph" w:styleId="a9">
    <w:name w:val="List Paragraph"/>
    <w:basedOn w:val="a"/>
    <w:uiPriority w:val="34"/>
    <w:qFormat/>
    <w:rsid w:val="00E60A80"/>
    <w:pPr>
      <w:ind w:left="720"/>
      <w:contextualSpacing/>
    </w:pPr>
  </w:style>
  <w:style w:type="character" w:styleId="aa">
    <w:name w:val="Intense Emphasis"/>
    <w:basedOn w:val="a0"/>
    <w:uiPriority w:val="21"/>
    <w:qFormat/>
    <w:rsid w:val="00E60A80"/>
    <w:rPr>
      <w:i/>
      <w:iCs/>
      <w:color w:val="0F4761" w:themeColor="accent1" w:themeShade="BF"/>
    </w:rPr>
  </w:style>
  <w:style w:type="paragraph" w:styleId="ab">
    <w:name w:val="Intense Quote"/>
    <w:basedOn w:val="a"/>
    <w:next w:val="a"/>
    <w:link w:val="ac"/>
    <w:uiPriority w:val="30"/>
    <w:qFormat/>
    <w:rsid w:val="00E60A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60A80"/>
    <w:rPr>
      <w:i/>
      <w:iCs/>
      <w:color w:val="0F4761" w:themeColor="accent1" w:themeShade="BF"/>
    </w:rPr>
  </w:style>
  <w:style w:type="character" w:styleId="ad">
    <w:name w:val="Intense Reference"/>
    <w:basedOn w:val="a0"/>
    <w:uiPriority w:val="32"/>
    <w:qFormat/>
    <w:rsid w:val="00E60A80"/>
    <w:rPr>
      <w:b/>
      <w:bCs/>
      <w:smallCaps/>
      <w:color w:val="0F4761" w:themeColor="accent1" w:themeShade="BF"/>
      <w:spacing w:val="5"/>
    </w:rPr>
  </w:style>
  <w:style w:type="paragraph" w:styleId="ae">
    <w:name w:val="Normal (Web)"/>
    <w:basedOn w:val="a"/>
    <w:uiPriority w:val="99"/>
    <w:semiHidden/>
    <w:unhideWhenUsed/>
    <w:rsid w:val="00E60A80"/>
    <w:pPr>
      <w:spacing w:before="100" w:beforeAutospacing="1" w:after="100" w:afterAutospacing="1"/>
    </w:pPr>
  </w:style>
  <w:style w:type="character" w:customStyle="1" w:styleId="math-inline">
    <w:name w:val="math-inline"/>
    <w:basedOn w:val="a0"/>
    <w:rsid w:val="00E60A80"/>
  </w:style>
  <w:style w:type="character" w:styleId="HTML">
    <w:name w:val="HTML Code"/>
    <w:basedOn w:val="a0"/>
    <w:uiPriority w:val="99"/>
    <w:semiHidden/>
    <w:unhideWhenUsed/>
    <w:rsid w:val="00C17F96"/>
    <w:rPr>
      <w:rFonts w:ascii="宋体" w:eastAsia="宋体" w:hAnsi="宋体" w:cs="宋体"/>
      <w:sz w:val="24"/>
      <w:szCs w:val="24"/>
    </w:rPr>
  </w:style>
  <w:style w:type="character" w:styleId="af">
    <w:name w:val="Placeholder Text"/>
    <w:basedOn w:val="a0"/>
    <w:uiPriority w:val="99"/>
    <w:semiHidden/>
    <w:rsid w:val="00DC53E3"/>
    <w:rPr>
      <w:color w:val="666666"/>
    </w:rPr>
  </w:style>
  <w:style w:type="character" w:styleId="af0">
    <w:name w:val="Strong"/>
    <w:basedOn w:val="a0"/>
    <w:uiPriority w:val="22"/>
    <w:qFormat/>
    <w:rsid w:val="00B77E71"/>
    <w:rPr>
      <w:b/>
      <w:bCs/>
    </w:rPr>
  </w:style>
  <w:style w:type="character" w:styleId="af1">
    <w:name w:val="Emphasis"/>
    <w:basedOn w:val="a0"/>
    <w:uiPriority w:val="20"/>
    <w:qFormat/>
    <w:rsid w:val="00FA0F75"/>
    <w:rPr>
      <w:i/>
      <w:iCs/>
    </w:rPr>
  </w:style>
  <w:style w:type="table" w:styleId="11">
    <w:name w:val="Grid Table 1 Light"/>
    <w:basedOn w:val="a1"/>
    <w:uiPriority w:val="46"/>
    <w:rsid w:val="00CE239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1">
    <w:name w:val="Plain Table 3"/>
    <w:basedOn w:val="a1"/>
    <w:uiPriority w:val="43"/>
    <w:rsid w:val="00CE239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18</Pages>
  <Words>5968</Words>
  <Characters>34023</Characters>
  <Application>Microsoft Office Word</Application>
  <DocSecurity>0</DocSecurity>
  <Lines>283</Lines>
  <Paragraphs>79</Paragraphs>
  <ScaleCrop>false</ScaleCrop>
  <Company/>
  <LinksUpToDate>false</LinksUpToDate>
  <CharactersWithSpaces>39912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 Z</dc:creator>
  <cp:keywords/>
  <dc:description/>
  <cp:lastModifiedBy>Dt Z</cp:lastModifiedBy>
  <cp:revision>75</cp:revision>
  <dcterms:created xsi:type="dcterms:W3CDTF">2025-12-03T00:27:00Z</dcterms:created>
  <dcterms:modified xsi:type="dcterms:W3CDTF">2025-12-04T05:29:00Z</dcterms:modified>
</cp:coreProperties>
</file>